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98D9">
      <w:pPr>
        <w:pStyle w:val="17"/>
        <w:rPr>
          <w:rFonts w:hint="eastAsia" w:ascii="宋体" w:hAnsi="宋体" w:cs="宋体"/>
          <w:sz w:val="32"/>
          <w:szCs w:val="32"/>
        </w:rPr>
      </w:pPr>
    </w:p>
    <w:p w14:paraId="2ECF7762">
      <w:pPr>
        <w:topLinePunct/>
        <w:autoSpaceDE w:val="0"/>
        <w:autoSpaceDN w:val="0"/>
        <w:jc w:val="center"/>
        <w:rPr>
          <w:rFonts w:hint="eastAsia" w:ascii="宋体" w:hAnsi="宋体" w:eastAsia="宋体" w:cs="宋体"/>
          <w:bCs/>
          <w:sz w:val="96"/>
          <w:szCs w:val="96"/>
        </w:rPr>
      </w:pPr>
      <w:bookmarkStart w:id="0" w:name="OLE_LINK8"/>
      <w:r>
        <w:rPr>
          <w:rFonts w:hint="eastAsia" w:ascii="宋体" w:hAnsi="宋体" w:eastAsia="宋体" w:cs="宋体"/>
          <w:bCs/>
          <w:sz w:val="96"/>
          <w:szCs w:val="96"/>
        </w:rPr>
        <w:t>招 标 文 件</w:t>
      </w:r>
    </w:p>
    <w:p w14:paraId="7A0FE4D9">
      <w:pPr>
        <w:topLinePunct/>
        <w:autoSpaceDE w:val="0"/>
        <w:autoSpaceDN w:val="0"/>
        <w:spacing w:line="60" w:lineRule="exact"/>
        <w:jc w:val="center"/>
        <w:rPr>
          <w:rFonts w:hint="eastAsia" w:ascii="宋体" w:hAnsi="宋体" w:eastAsia="宋体" w:cs="宋体"/>
          <w:bCs/>
          <w:sz w:val="32"/>
          <w:szCs w:val="32"/>
        </w:rPr>
      </w:pPr>
    </w:p>
    <w:p w14:paraId="2E9EA8DE">
      <w:pPr>
        <w:topLinePunct/>
        <w:autoSpaceDE w:val="0"/>
        <w:autoSpaceDN w:val="0"/>
        <w:snapToGrid w:val="0"/>
        <w:jc w:val="center"/>
        <w:rPr>
          <w:rFonts w:hint="eastAsia" w:ascii="宋体" w:hAnsi="宋体" w:eastAsia="宋体" w:cs="宋体"/>
          <w:bCs/>
          <w:sz w:val="40"/>
          <w:szCs w:val="40"/>
        </w:rPr>
      </w:pPr>
      <w:r>
        <w:rPr>
          <w:rFonts w:hint="eastAsia" w:ascii="宋体" w:hAnsi="宋体" w:eastAsia="宋体" w:cs="宋体"/>
          <w:bCs/>
          <w:sz w:val="40"/>
          <w:szCs w:val="40"/>
        </w:rPr>
        <w:t>（商务部分）</w:t>
      </w:r>
    </w:p>
    <w:p w14:paraId="1322953B">
      <w:pPr>
        <w:topLinePunct/>
        <w:autoSpaceDE w:val="0"/>
        <w:autoSpaceDN w:val="0"/>
        <w:snapToGrid w:val="0"/>
        <w:rPr>
          <w:rFonts w:hint="eastAsia" w:ascii="宋体" w:hAnsi="宋体" w:eastAsia="宋体" w:cs="宋体"/>
          <w:bCs/>
          <w:sz w:val="40"/>
          <w:szCs w:val="40"/>
        </w:rPr>
      </w:pPr>
    </w:p>
    <w:p w14:paraId="2D38194D">
      <w:pPr>
        <w:jc w:val="center"/>
        <w:rPr>
          <w:rFonts w:hint="eastAsia" w:ascii="宋体" w:hAnsi="宋体" w:eastAsia="宋体" w:cs="宋体"/>
          <w:sz w:val="24"/>
          <w:szCs w:val="24"/>
        </w:rPr>
      </w:pPr>
    </w:p>
    <w:p w14:paraId="0AC36DD6">
      <w:pPr>
        <w:jc w:val="center"/>
        <w:rPr>
          <w:rFonts w:hint="eastAsia" w:ascii="宋体" w:hAnsi="宋体" w:eastAsia="宋体" w:cs="宋体"/>
          <w:sz w:val="24"/>
          <w:szCs w:val="24"/>
        </w:rPr>
      </w:pPr>
    </w:p>
    <w:p w14:paraId="513AD893">
      <w:pPr>
        <w:spacing w:line="480" w:lineRule="exact"/>
        <w:jc w:val="center"/>
        <w:rPr>
          <w:rFonts w:hint="eastAsia" w:ascii="宋体" w:hAnsi="宋体" w:eastAsia="宋体" w:cs="宋体"/>
          <w:sz w:val="24"/>
          <w:szCs w:val="24"/>
        </w:rPr>
      </w:pPr>
    </w:p>
    <w:p w14:paraId="6760CB4B">
      <w:pPr>
        <w:spacing w:line="480" w:lineRule="exact"/>
        <w:jc w:val="center"/>
        <w:rPr>
          <w:rFonts w:hint="eastAsia" w:ascii="宋体" w:hAnsi="宋体" w:eastAsia="宋体" w:cs="宋体"/>
          <w:sz w:val="24"/>
          <w:szCs w:val="24"/>
        </w:rPr>
      </w:pPr>
    </w:p>
    <w:p w14:paraId="1D4C36EB">
      <w:pPr>
        <w:spacing w:line="480" w:lineRule="exact"/>
        <w:jc w:val="center"/>
        <w:rPr>
          <w:rFonts w:hint="eastAsia" w:ascii="宋体" w:hAnsi="宋体" w:eastAsia="宋体" w:cs="宋体"/>
          <w:sz w:val="24"/>
          <w:szCs w:val="24"/>
        </w:rPr>
      </w:pPr>
    </w:p>
    <w:p w14:paraId="6746A2C6">
      <w:pPr>
        <w:spacing w:line="480" w:lineRule="exact"/>
        <w:jc w:val="center"/>
        <w:rPr>
          <w:rFonts w:hint="eastAsia" w:ascii="宋体" w:hAnsi="宋体" w:eastAsia="宋体" w:cs="宋体"/>
          <w:sz w:val="24"/>
          <w:szCs w:val="24"/>
        </w:rPr>
      </w:pPr>
    </w:p>
    <w:p w14:paraId="60E8874A">
      <w:pPr>
        <w:spacing w:line="480" w:lineRule="exact"/>
        <w:jc w:val="center"/>
        <w:rPr>
          <w:rFonts w:hint="eastAsia" w:ascii="宋体" w:hAnsi="宋体" w:eastAsia="宋体" w:cs="宋体"/>
          <w:sz w:val="32"/>
          <w:szCs w:val="32"/>
        </w:rPr>
      </w:pPr>
      <w:r>
        <w:rPr>
          <w:rFonts w:hint="eastAsia" w:ascii="宋体" w:hAnsi="宋体" w:eastAsia="宋体" w:cs="宋体"/>
          <w:sz w:val="32"/>
          <w:szCs w:val="32"/>
        </w:rPr>
        <w:t>项目名称：</w:t>
      </w:r>
      <w:r>
        <w:rPr>
          <w:rFonts w:hint="eastAsia" w:ascii="宋体" w:hAnsi="宋体" w:eastAsia="宋体" w:cs="宋体"/>
          <w:sz w:val="32"/>
          <w:szCs w:val="32"/>
          <w:u w:val="single"/>
        </w:rPr>
        <w:t>国家税务总局南平市税务局2025年食堂食材配送服务项目</w:t>
      </w:r>
    </w:p>
    <w:p w14:paraId="54C3FC70">
      <w:pPr>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项目编号：FJ2025-ZXGK-C0038-B03</w:t>
      </w:r>
    </w:p>
    <w:p w14:paraId="67157DBB">
      <w:pPr>
        <w:spacing w:line="480" w:lineRule="exact"/>
        <w:jc w:val="center"/>
        <w:rPr>
          <w:rFonts w:hint="eastAsia" w:ascii="宋体" w:hAnsi="宋体" w:eastAsia="宋体" w:cs="宋体"/>
          <w:sz w:val="32"/>
          <w:szCs w:val="32"/>
        </w:rPr>
      </w:pPr>
      <w:r>
        <w:rPr>
          <w:rFonts w:hint="eastAsia" w:ascii="宋体" w:hAnsi="宋体" w:eastAsia="宋体" w:cs="宋体"/>
          <w:sz w:val="32"/>
          <w:szCs w:val="32"/>
        </w:rPr>
        <w:t>采 购 人：</w:t>
      </w:r>
      <w:r>
        <w:rPr>
          <w:rFonts w:hint="eastAsia" w:ascii="宋体" w:hAnsi="宋体" w:eastAsia="宋体" w:cs="宋体"/>
          <w:sz w:val="32"/>
          <w:szCs w:val="32"/>
          <w:u w:val="single"/>
        </w:rPr>
        <w:t>国家税务总局南平市税务局</w:t>
      </w:r>
    </w:p>
    <w:p w14:paraId="427F918C">
      <w:pPr>
        <w:spacing w:line="480" w:lineRule="exact"/>
        <w:jc w:val="center"/>
        <w:rPr>
          <w:rFonts w:hint="eastAsia" w:ascii="宋体" w:hAnsi="宋体" w:eastAsia="宋体" w:cs="宋体"/>
          <w:sz w:val="32"/>
          <w:szCs w:val="32"/>
        </w:rPr>
      </w:pPr>
      <w:r>
        <w:rPr>
          <w:rFonts w:hint="eastAsia" w:ascii="宋体" w:hAnsi="宋体" w:eastAsia="宋体" w:cs="宋体"/>
          <w:sz w:val="32"/>
          <w:szCs w:val="32"/>
        </w:rPr>
        <w:t>采购代理机构：</w:t>
      </w:r>
      <w:r>
        <w:rPr>
          <w:rFonts w:hint="eastAsia" w:ascii="宋体" w:hAnsi="宋体" w:eastAsia="宋体" w:cs="宋体"/>
          <w:sz w:val="32"/>
          <w:szCs w:val="32"/>
          <w:u w:val="single"/>
        </w:rPr>
        <w:t>福建省中亿通招标咨询有限公司</w:t>
      </w:r>
    </w:p>
    <w:p w14:paraId="58C148E9">
      <w:pPr>
        <w:topLinePunct/>
        <w:autoSpaceDE w:val="0"/>
        <w:autoSpaceDN w:val="0"/>
        <w:spacing w:line="480" w:lineRule="exact"/>
        <w:rPr>
          <w:rFonts w:hint="eastAsia" w:ascii="宋体" w:hAnsi="宋体" w:eastAsia="宋体" w:cs="宋体"/>
          <w:sz w:val="32"/>
          <w:szCs w:val="32"/>
        </w:rPr>
      </w:pPr>
    </w:p>
    <w:p w14:paraId="1EDAE822">
      <w:pPr>
        <w:topLinePunct/>
        <w:autoSpaceDE w:val="0"/>
        <w:autoSpaceDN w:val="0"/>
        <w:spacing w:line="480" w:lineRule="exact"/>
        <w:jc w:val="center"/>
        <w:rPr>
          <w:rFonts w:hint="eastAsia" w:ascii="宋体" w:hAnsi="宋体" w:eastAsia="宋体" w:cs="宋体"/>
          <w:sz w:val="32"/>
          <w:szCs w:val="32"/>
        </w:rPr>
      </w:pPr>
    </w:p>
    <w:p w14:paraId="7FEFF504">
      <w:pPr>
        <w:topLinePunct/>
        <w:autoSpaceDE w:val="0"/>
        <w:autoSpaceDN w:val="0"/>
        <w:spacing w:line="480" w:lineRule="exact"/>
        <w:jc w:val="center"/>
        <w:rPr>
          <w:rFonts w:hint="eastAsia" w:ascii="宋体" w:hAnsi="宋体" w:eastAsia="宋体" w:cs="宋体"/>
          <w:sz w:val="32"/>
          <w:szCs w:val="32"/>
        </w:rPr>
      </w:pPr>
    </w:p>
    <w:p w14:paraId="3A5683F3">
      <w:pPr>
        <w:topLinePunct/>
        <w:autoSpaceDE w:val="0"/>
        <w:autoSpaceDN w:val="0"/>
        <w:spacing w:line="480" w:lineRule="exact"/>
        <w:jc w:val="center"/>
        <w:rPr>
          <w:rFonts w:hint="eastAsia" w:ascii="宋体" w:hAnsi="宋体" w:eastAsia="宋体" w:cs="宋体"/>
          <w:sz w:val="32"/>
          <w:szCs w:val="32"/>
        </w:rPr>
      </w:pPr>
    </w:p>
    <w:p w14:paraId="5EC429FB">
      <w:pPr>
        <w:topLinePunct/>
        <w:autoSpaceDE w:val="0"/>
        <w:autoSpaceDN w:val="0"/>
        <w:spacing w:line="480" w:lineRule="exact"/>
        <w:jc w:val="center"/>
        <w:rPr>
          <w:rFonts w:hint="eastAsia" w:ascii="宋体" w:hAnsi="宋体" w:eastAsia="宋体" w:cs="宋体"/>
          <w:sz w:val="32"/>
          <w:szCs w:val="32"/>
        </w:rPr>
      </w:pPr>
    </w:p>
    <w:p w14:paraId="6AECF4D1">
      <w:pPr>
        <w:topLinePunct/>
        <w:autoSpaceDE w:val="0"/>
        <w:autoSpaceDN w:val="0"/>
        <w:spacing w:line="480" w:lineRule="exact"/>
        <w:jc w:val="center"/>
        <w:rPr>
          <w:rFonts w:hint="eastAsia" w:ascii="宋体" w:hAnsi="宋体" w:eastAsia="宋体" w:cs="宋体"/>
          <w:sz w:val="32"/>
          <w:szCs w:val="32"/>
        </w:rPr>
      </w:pPr>
    </w:p>
    <w:p w14:paraId="4A840AEB">
      <w:pPr>
        <w:topLinePunct/>
        <w:autoSpaceDE w:val="0"/>
        <w:autoSpaceDN w:val="0"/>
        <w:spacing w:line="480" w:lineRule="exact"/>
        <w:jc w:val="center"/>
        <w:rPr>
          <w:rFonts w:hint="eastAsia" w:ascii="宋体" w:hAnsi="宋体" w:eastAsia="宋体" w:cs="宋体"/>
          <w:sz w:val="32"/>
          <w:szCs w:val="32"/>
        </w:rPr>
      </w:pPr>
    </w:p>
    <w:p w14:paraId="1725DF4C">
      <w:pPr>
        <w:topLinePunct/>
        <w:autoSpaceDE w:val="0"/>
        <w:autoSpaceDN w:val="0"/>
        <w:spacing w:line="480" w:lineRule="exact"/>
        <w:jc w:val="center"/>
        <w:rPr>
          <w:rFonts w:hint="eastAsia" w:ascii="宋体" w:hAnsi="宋体" w:eastAsia="宋体" w:cs="宋体"/>
          <w:sz w:val="32"/>
          <w:szCs w:val="32"/>
        </w:rPr>
      </w:pPr>
    </w:p>
    <w:p w14:paraId="48B1D30D">
      <w:pPr>
        <w:topLinePunct/>
        <w:autoSpaceDE w:val="0"/>
        <w:autoSpaceDN w:val="0"/>
        <w:spacing w:line="480" w:lineRule="exact"/>
        <w:jc w:val="center"/>
        <w:rPr>
          <w:rFonts w:hint="eastAsia" w:ascii="宋体" w:hAnsi="宋体" w:eastAsia="宋体" w:cs="宋体"/>
          <w:sz w:val="32"/>
          <w:szCs w:val="32"/>
        </w:rPr>
      </w:pPr>
    </w:p>
    <w:p w14:paraId="42ADDF1C">
      <w:pPr>
        <w:topLinePunct/>
        <w:autoSpaceDE w:val="0"/>
        <w:autoSpaceDN w:val="0"/>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rPr>
        <w:t>国家税</w:t>
      </w:r>
      <w:r>
        <w:rPr>
          <w:rFonts w:hint="eastAsia" w:ascii="宋体" w:hAnsi="宋体" w:eastAsia="宋体" w:cs="宋体"/>
          <w:sz w:val="32"/>
          <w:szCs w:val="32"/>
          <w:highlight w:val="none"/>
        </w:rPr>
        <w:t>务总局南平市税务局</w:t>
      </w:r>
    </w:p>
    <w:p w14:paraId="7F17DBEF">
      <w:pPr>
        <w:spacing w:line="480" w:lineRule="exact"/>
        <w:jc w:val="center"/>
        <w:rPr>
          <w:rFonts w:hint="eastAsia" w:ascii="宋体" w:hAnsi="宋体" w:eastAsia="宋体" w:cs="宋体"/>
          <w:sz w:val="40"/>
          <w:szCs w:val="40"/>
          <w:highlight w:val="none"/>
        </w:rPr>
      </w:pPr>
      <w:r>
        <w:rPr>
          <w:rFonts w:hint="eastAsia" w:ascii="宋体" w:hAnsi="宋体" w:eastAsia="宋体" w:cs="宋体"/>
          <w:sz w:val="32"/>
          <w:szCs w:val="32"/>
          <w:highlight w:val="none"/>
        </w:rPr>
        <w:t>2025年</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29</w:t>
      </w:r>
      <w:r>
        <w:rPr>
          <w:rFonts w:hint="eastAsia" w:ascii="宋体" w:hAnsi="宋体" w:eastAsia="宋体" w:cs="宋体"/>
          <w:sz w:val="32"/>
          <w:szCs w:val="32"/>
          <w:highlight w:val="none"/>
        </w:rPr>
        <w:t>日</w:t>
      </w:r>
    </w:p>
    <w:bookmarkEnd w:id="0"/>
    <w:p w14:paraId="20971966">
      <w:pPr>
        <w:rPr>
          <w:rFonts w:hint="eastAsia" w:ascii="宋体" w:hAnsi="宋体" w:eastAsia="宋体" w:cs="宋体"/>
          <w:sz w:val="32"/>
          <w:szCs w:val="32"/>
        </w:rPr>
      </w:pPr>
    </w:p>
    <w:p w14:paraId="540400E7">
      <w:pPr>
        <w:rPr>
          <w:rFonts w:hint="eastAsia" w:ascii="宋体" w:hAnsi="宋体" w:eastAsia="宋体" w:cs="宋体"/>
          <w:sz w:val="32"/>
          <w:szCs w:val="32"/>
        </w:rPr>
        <w:sectPr>
          <w:footerReference r:id="rId3" w:type="default"/>
          <w:pgSz w:w="11906" w:h="16838"/>
          <w:pgMar w:top="1440" w:right="1752" w:bottom="1440" w:left="1752" w:header="851" w:footer="992" w:gutter="0"/>
          <w:cols w:space="720" w:num="1"/>
          <w:docGrid w:type="lines" w:linePitch="312" w:charSpace="0"/>
        </w:sectPr>
      </w:pPr>
    </w:p>
    <w:p w14:paraId="6D173F2D">
      <w:pPr>
        <w:jc w:val="center"/>
        <w:rPr>
          <w:rFonts w:hint="eastAsia" w:ascii="宋体" w:hAnsi="宋体" w:eastAsia="宋体" w:cs="宋体"/>
          <w:b/>
          <w:bCs/>
          <w:sz w:val="28"/>
          <w:szCs w:val="28"/>
        </w:rPr>
      </w:pPr>
      <w:r>
        <w:rPr>
          <w:rFonts w:hint="eastAsia" w:ascii="宋体" w:hAnsi="宋体" w:eastAsia="宋体" w:cs="宋体"/>
          <w:b/>
          <w:bCs/>
          <w:sz w:val="28"/>
          <w:szCs w:val="28"/>
          <w:lang w:val="zh-CN"/>
        </w:rPr>
        <w:t>目  录</w:t>
      </w:r>
    </w:p>
    <w:p w14:paraId="5AAC8569">
      <w:pPr>
        <w:pStyle w:val="22"/>
        <w:tabs>
          <w:tab w:val="right" w:leader="dot" w:pos="8402"/>
        </w:tabs>
        <w:spacing w:line="480" w:lineRule="atLeas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"_Toc27800" </w:instrText>
      </w:r>
      <w:r>
        <w:fldChar w:fldCharType="separate"/>
      </w:r>
      <w:r>
        <w:rPr>
          <w:rFonts w:hint="eastAsia" w:ascii="宋体" w:hAnsi="宋体" w:cs="宋体"/>
          <w:sz w:val="24"/>
          <w:szCs w:val="24"/>
        </w:rPr>
        <w:t>第一章  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_Toc27800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635BC034">
      <w:pPr>
        <w:pStyle w:val="22"/>
        <w:tabs>
          <w:tab w:val="right" w:leader="dot" w:pos="8402"/>
        </w:tabs>
        <w:spacing w:line="480" w:lineRule="atLeast"/>
        <w:rPr>
          <w:rFonts w:hint="eastAsia" w:ascii="宋体" w:hAnsi="宋体" w:cs="宋体"/>
          <w:sz w:val="24"/>
          <w:szCs w:val="24"/>
        </w:rPr>
      </w:pPr>
      <w:r>
        <w:fldChar w:fldCharType="begin"/>
      </w:r>
      <w:r>
        <w:instrText xml:space="preserve"> HYPERLINK \l "_Toc16158"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_Toc16158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C6A099F">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"_Toc20603" </w:instrText>
      </w:r>
      <w:r>
        <w:fldChar w:fldCharType="separate"/>
      </w:r>
      <w:r>
        <w:rPr>
          <w:rFonts w:hint="eastAsia" w:ascii="宋体" w:hAnsi="宋体" w:cs="宋体"/>
          <w:sz w:val="24"/>
          <w:szCs w:val="24"/>
        </w:rPr>
        <w:t>投标人须知前附表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_Toc20603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01279AA">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"_Toc30149" </w:instrText>
      </w:r>
      <w:r>
        <w:fldChar w:fldCharType="separate"/>
      </w:r>
      <w:r>
        <w:rPr>
          <w:rFonts w:hint="eastAsia" w:ascii="宋体" w:hAnsi="宋体" w:cs="宋体"/>
          <w:sz w:val="24"/>
          <w:szCs w:val="24"/>
        </w:rPr>
        <w:t>一、总则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_Toc30149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68D6C3D7">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"_Toc23857" </w:instrText>
      </w:r>
      <w:r>
        <w:fldChar w:fldCharType="separate"/>
      </w:r>
      <w:r>
        <w:rPr>
          <w:rFonts w:hint="eastAsia" w:ascii="宋体" w:hAnsi="宋体" w:cs="宋体"/>
          <w:sz w:val="24"/>
          <w:szCs w:val="24"/>
        </w:rPr>
        <w:t>二、招标文件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_Toc23857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289057B0">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"_Toc14017" </w:instrText>
      </w:r>
      <w:r>
        <w:fldChar w:fldCharType="separate"/>
      </w:r>
      <w:r>
        <w:rPr>
          <w:rFonts w:hint="eastAsia" w:ascii="宋体" w:hAnsi="宋体" w:cs="宋体"/>
          <w:sz w:val="24"/>
          <w:szCs w:val="24"/>
        </w:rPr>
        <w:t>三、投标文件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_Toc14017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70A2A923">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"_Toc31111" </w:instrText>
      </w:r>
      <w:r>
        <w:fldChar w:fldCharType="separate"/>
      </w:r>
      <w:r>
        <w:rPr>
          <w:rFonts w:hint="eastAsia" w:ascii="宋体" w:hAnsi="宋体" w:cs="宋体"/>
          <w:sz w:val="24"/>
          <w:szCs w:val="24"/>
        </w:rPr>
        <w:t>四、投标文件递交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_Toc31111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2D77D922">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"_Toc1537" </w:instrText>
      </w:r>
      <w:r>
        <w:fldChar w:fldCharType="separate"/>
      </w:r>
      <w:r>
        <w:rPr>
          <w:rFonts w:hint="eastAsia" w:ascii="宋体" w:hAnsi="宋体" w:cs="宋体"/>
          <w:sz w:val="24"/>
          <w:szCs w:val="24"/>
        </w:rPr>
        <w:t>五、开标与评标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_Toc1537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692CA54D">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"_Toc22690" </w:instrText>
      </w:r>
      <w:r>
        <w:fldChar w:fldCharType="separate"/>
      </w:r>
      <w:r>
        <w:rPr>
          <w:rFonts w:hint="eastAsia" w:ascii="宋体" w:hAnsi="宋体" w:cs="宋体"/>
          <w:sz w:val="24"/>
          <w:szCs w:val="24"/>
        </w:rPr>
        <w:t>六、中标和合同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_Toc22690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57C96A8B">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"_Toc21824" </w:instrText>
      </w:r>
      <w:r>
        <w:fldChar w:fldCharType="separate"/>
      </w:r>
      <w:r>
        <w:rPr>
          <w:rFonts w:hint="eastAsia" w:ascii="宋体" w:hAnsi="宋体" w:cs="宋体"/>
          <w:sz w:val="24"/>
          <w:szCs w:val="24"/>
        </w:rPr>
        <w:t>七、询问和质疑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_Toc21824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764B44E7">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"_Toc11218" </w:instrText>
      </w:r>
      <w:r>
        <w:fldChar w:fldCharType="separate"/>
      </w:r>
      <w:r>
        <w:rPr>
          <w:rFonts w:hint="eastAsia" w:ascii="宋体" w:hAnsi="宋体" w:cs="宋体"/>
          <w:sz w:val="24"/>
          <w:szCs w:val="24"/>
        </w:rPr>
        <w:t>八、其他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_Toc11218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78E43F79">
      <w:pPr>
        <w:pStyle w:val="22"/>
        <w:tabs>
          <w:tab w:val="right" w:leader="dot" w:pos="8402"/>
        </w:tabs>
        <w:spacing w:line="480" w:lineRule="atLeast"/>
        <w:rPr>
          <w:rFonts w:hint="eastAsia" w:ascii="宋体" w:hAnsi="宋体" w:cs="宋体"/>
          <w:sz w:val="24"/>
          <w:szCs w:val="24"/>
        </w:rPr>
      </w:pPr>
      <w:r>
        <w:fldChar w:fldCharType="begin"/>
      </w:r>
      <w:r>
        <w:instrText xml:space="preserve"> HYPERLINK \l "_Toc1292" </w:instrText>
      </w:r>
      <w:r>
        <w:fldChar w:fldCharType="separate"/>
      </w:r>
      <w:r>
        <w:rPr>
          <w:rFonts w:hint="eastAsia" w:ascii="宋体" w:hAnsi="宋体" w:cs="宋体"/>
          <w:sz w:val="24"/>
          <w:szCs w:val="24"/>
        </w:rPr>
        <w:t>第三章  评标方法及标准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_Toc1292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7C693270">
      <w:pPr>
        <w:pStyle w:val="22"/>
        <w:tabs>
          <w:tab w:val="right" w:leader="dot" w:pos="8402"/>
        </w:tabs>
        <w:spacing w:line="480" w:lineRule="atLeast"/>
        <w:rPr>
          <w:rFonts w:hint="eastAsia" w:ascii="宋体" w:hAnsi="宋体" w:cs="宋体"/>
          <w:sz w:val="24"/>
          <w:szCs w:val="24"/>
        </w:rPr>
      </w:pPr>
      <w:r>
        <w:fldChar w:fldCharType="begin"/>
      </w:r>
      <w:r>
        <w:instrText xml:space="preserve"> HYPERLINK \l "_Toc23551" </w:instrText>
      </w:r>
      <w:r>
        <w:fldChar w:fldCharType="separate"/>
      </w:r>
      <w:r>
        <w:rPr>
          <w:rFonts w:hint="eastAsia" w:ascii="宋体" w:hAnsi="宋体" w:cs="宋体"/>
          <w:sz w:val="24"/>
          <w:szCs w:val="24"/>
        </w:rPr>
        <w:t>第四章  政府采购合同文本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_Toc23551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52C27C29">
      <w:pPr>
        <w:pStyle w:val="22"/>
        <w:tabs>
          <w:tab w:val="right" w:leader="dot" w:pos="8402"/>
        </w:tabs>
        <w:spacing w:line="480" w:lineRule="atLeast"/>
        <w:rPr>
          <w:rFonts w:hint="eastAsia" w:ascii="宋体" w:hAnsi="宋体" w:cs="宋体"/>
          <w:sz w:val="24"/>
          <w:szCs w:val="24"/>
        </w:rPr>
      </w:pPr>
      <w:r>
        <w:fldChar w:fldCharType="begin"/>
      </w:r>
      <w:r>
        <w:instrText xml:space="preserve"> HYPERLINK \l "_Toc754" </w:instrText>
      </w:r>
      <w:r>
        <w:fldChar w:fldCharType="separate"/>
      </w:r>
      <w:r>
        <w:rPr>
          <w:rFonts w:hint="eastAsia" w:ascii="宋体" w:hAnsi="宋体" w:cs="宋体"/>
          <w:sz w:val="24"/>
          <w:szCs w:val="24"/>
        </w:rPr>
        <w:t>第五章　投标文件格式</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44</w:t>
      </w:r>
    </w:p>
    <w:p w14:paraId="568EDCF0">
      <w:pPr>
        <w:pStyle w:val="22"/>
        <w:tabs>
          <w:tab w:val="right" w:leader="dot" w:pos="8402"/>
        </w:tabs>
        <w:spacing w:line="480" w:lineRule="atLeast"/>
        <w:rPr>
          <w:rFonts w:hint="eastAsia" w:ascii="宋体" w:hAnsi="宋体" w:cs="宋体"/>
          <w:sz w:val="24"/>
          <w:szCs w:val="24"/>
        </w:rPr>
      </w:pPr>
      <w:r>
        <w:fldChar w:fldCharType="begin"/>
      </w:r>
      <w:r>
        <w:instrText xml:space="preserve"> HYPERLINK \l "_Toc20388" </w:instrText>
      </w:r>
      <w:r>
        <w:fldChar w:fldCharType="separate"/>
      </w:r>
      <w:r>
        <w:rPr>
          <w:rFonts w:hint="eastAsia" w:ascii="宋体" w:hAnsi="宋体" w:cs="宋体"/>
          <w:bCs/>
          <w:sz w:val="24"/>
          <w:szCs w:val="24"/>
        </w:rPr>
        <w:t>第六章  项目采购需求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_Toc20388 \h </w:instrText>
      </w:r>
      <w:r>
        <w:rPr>
          <w:rFonts w:hint="eastAsia" w:ascii="宋体" w:hAnsi="宋体" w:cs="宋体"/>
          <w:sz w:val="24"/>
          <w:szCs w:val="24"/>
        </w:rPr>
        <w:fldChar w:fldCharType="separate"/>
      </w:r>
      <w:r>
        <w:rPr>
          <w:rFonts w:hint="eastAsia" w:ascii="宋体" w:hAnsi="宋体" w:cs="宋体"/>
          <w:sz w:val="24"/>
          <w:szCs w:val="24"/>
        </w:rPr>
        <w:t>70</w:t>
      </w:r>
      <w:r>
        <w:rPr>
          <w:rFonts w:hint="eastAsia" w:ascii="宋体" w:hAnsi="宋体" w:cs="宋体"/>
          <w:sz w:val="24"/>
          <w:szCs w:val="24"/>
        </w:rPr>
        <w:fldChar w:fldCharType="end"/>
      </w:r>
      <w:r>
        <w:rPr>
          <w:rFonts w:hint="eastAsia" w:ascii="宋体" w:hAnsi="宋体" w:cs="宋体"/>
          <w:sz w:val="24"/>
          <w:szCs w:val="24"/>
        </w:rPr>
        <w:fldChar w:fldCharType="end"/>
      </w:r>
    </w:p>
    <w:p w14:paraId="7EF3214E">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"_Toc5663" </w:instrText>
      </w:r>
      <w:r>
        <w:fldChar w:fldCharType="separate"/>
      </w:r>
      <w:r>
        <w:rPr>
          <w:rFonts w:hint="eastAsia" w:ascii="宋体" w:hAnsi="宋体" w:cs="宋体"/>
          <w:sz w:val="24"/>
          <w:szCs w:val="24"/>
        </w:rPr>
        <w:t>一、项目概况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_Toc5663 \h </w:instrText>
      </w:r>
      <w:r>
        <w:rPr>
          <w:rFonts w:hint="eastAsia" w:ascii="宋体" w:hAnsi="宋体" w:cs="宋体"/>
          <w:sz w:val="24"/>
          <w:szCs w:val="24"/>
        </w:rPr>
        <w:fldChar w:fldCharType="separate"/>
      </w:r>
      <w:r>
        <w:rPr>
          <w:rFonts w:hint="eastAsia" w:ascii="宋体" w:hAnsi="宋体" w:cs="宋体"/>
          <w:sz w:val="24"/>
          <w:szCs w:val="24"/>
        </w:rPr>
        <w:t>70</w:t>
      </w:r>
      <w:r>
        <w:rPr>
          <w:rFonts w:hint="eastAsia" w:ascii="宋体" w:hAnsi="宋体" w:cs="宋体"/>
          <w:sz w:val="24"/>
          <w:szCs w:val="24"/>
        </w:rPr>
        <w:fldChar w:fldCharType="end"/>
      </w:r>
      <w:r>
        <w:rPr>
          <w:rFonts w:hint="eastAsia" w:ascii="宋体" w:hAnsi="宋体" w:cs="宋体"/>
          <w:sz w:val="24"/>
          <w:szCs w:val="24"/>
        </w:rPr>
        <w:fldChar w:fldCharType="end"/>
      </w:r>
    </w:p>
    <w:p w14:paraId="0081D2C8">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"_Toc10605" </w:instrText>
      </w:r>
      <w:r>
        <w:fldChar w:fldCharType="separate"/>
      </w:r>
      <w:r>
        <w:rPr>
          <w:rFonts w:hint="eastAsia" w:ascii="宋体" w:hAnsi="宋体" w:cs="宋体"/>
          <w:sz w:val="24"/>
          <w:szCs w:val="24"/>
        </w:rPr>
        <w:t>二、技术要求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_Toc10605 \h </w:instrText>
      </w:r>
      <w:r>
        <w:rPr>
          <w:rFonts w:hint="eastAsia" w:ascii="宋体" w:hAnsi="宋体" w:cs="宋体"/>
          <w:sz w:val="24"/>
          <w:szCs w:val="24"/>
        </w:rPr>
        <w:fldChar w:fldCharType="separate"/>
      </w:r>
      <w:r>
        <w:rPr>
          <w:rFonts w:hint="eastAsia" w:ascii="宋体" w:hAnsi="宋体" w:cs="宋体"/>
          <w:sz w:val="24"/>
          <w:szCs w:val="24"/>
        </w:rPr>
        <w:t>70</w:t>
      </w:r>
      <w:r>
        <w:rPr>
          <w:rFonts w:hint="eastAsia" w:ascii="宋体" w:hAnsi="宋体" w:cs="宋体"/>
          <w:sz w:val="24"/>
          <w:szCs w:val="24"/>
        </w:rPr>
        <w:fldChar w:fldCharType="end"/>
      </w:r>
      <w:r>
        <w:rPr>
          <w:rFonts w:hint="eastAsia" w:ascii="宋体" w:hAnsi="宋体" w:cs="宋体"/>
          <w:sz w:val="24"/>
          <w:szCs w:val="24"/>
        </w:rPr>
        <w:fldChar w:fldCharType="end"/>
      </w:r>
    </w:p>
    <w:p w14:paraId="61A6E7B2">
      <w:pPr>
        <w:pStyle w:val="24"/>
        <w:tabs>
          <w:tab w:val="right" w:leader="dot" w:pos="8402"/>
        </w:tabs>
        <w:spacing w:line="480" w:lineRule="atLeast"/>
        <w:rPr>
          <w:rFonts w:hint="eastAsia" w:ascii="宋体" w:hAnsi="宋体" w:cs="宋体"/>
          <w:sz w:val="24"/>
          <w:szCs w:val="24"/>
        </w:rPr>
      </w:pPr>
      <w:r>
        <w:fldChar w:fldCharType="begin"/>
      </w:r>
      <w:r>
        <w:instrText xml:space="preserve"> HYPERLINK \l "_Toc13814" </w:instrText>
      </w:r>
      <w:r>
        <w:fldChar w:fldCharType="separate"/>
      </w:r>
      <w:r>
        <w:rPr>
          <w:rFonts w:hint="eastAsia" w:ascii="宋体" w:hAnsi="宋体" w:cs="宋体"/>
          <w:sz w:val="24"/>
          <w:szCs w:val="24"/>
        </w:rPr>
        <w:t>三、商务要求</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80</w:t>
      </w:r>
    </w:p>
    <w:p w14:paraId="771B5C41">
      <w:pPr>
        <w:rPr>
          <w:rFonts w:hint="eastAsia" w:ascii="宋体" w:hAnsi="宋体" w:eastAsia="宋体" w:cs="宋体"/>
        </w:rPr>
      </w:pPr>
      <w:r>
        <w:rPr>
          <w:rFonts w:hint="eastAsia" w:ascii="宋体" w:hAnsi="宋体" w:eastAsia="宋体" w:cs="宋体"/>
          <w:sz w:val="24"/>
          <w:szCs w:val="24"/>
        </w:rPr>
        <w:fldChar w:fldCharType="end"/>
      </w:r>
    </w:p>
    <w:p w14:paraId="1962723F">
      <w:pPr>
        <w:rPr>
          <w:rFonts w:hint="eastAsia" w:ascii="宋体" w:hAnsi="宋体" w:eastAsia="宋体" w:cs="宋体"/>
          <w:b/>
          <w:sz w:val="44"/>
          <w:szCs w:val="44"/>
        </w:rPr>
      </w:pPr>
    </w:p>
    <w:p w14:paraId="03BE378E">
      <w:pPr>
        <w:rPr>
          <w:rFonts w:hint="eastAsia" w:ascii="宋体" w:hAnsi="宋体" w:eastAsia="宋体" w:cs="宋体"/>
        </w:rPr>
      </w:pPr>
    </w:p>
    <w:p w14:paraId="70024BA7">
      <w:pPr>
        <w:rPr>
          <w:rFonts w:hint="eastAsia" w:ascii="宋体" w:hAnsi="宋体" w:eastAsia="宋体" w:cs="宋体"/>
        </w:rPr>
        <w:sectPr>
          <w:footerReference r:id="rId7" w:type="first"/>
          <w:footerReference r:id="rId5" w:type="default"/>
          <w:headerReference r:id="rId4" w:type="even"/>
          <w:footerReference r:id="rId6" w:type="even"/>
          <w:pgSz w:w="11906" w:h="16838"/>
          <w:pgMar w:top="1440" w:right="1752" w:bottom="1440" w:left="1752" w:header="851" w:footer="992" w:gutter="0"/>
          <w:cols w:space="720" w:num="1"/>
          <w:titlePg/>
          <w:docGrid w:type="lines" w:linePitch="312" w:charSpace="0"/>
        </w:sectPr>
      </w:pPr>
    </w:p>
    <w:p w14:paraId="034E7665">
      <w:pPr>
        <w:jc w:val="center"/>
        <w:outlineLvl w:val="0"/>
        <w:rPr>
          <w:rFonts w:hint="eastAsia" w:ascii="宋体" w:hAnsi="宋体" w:eastAsia="宋体" w:cs="宋体"/>
          <w:b/>
          <w:bCs/>
          <w:sz w:val="28"/>
          <w:szCs w:val="28"/>
        </w:rPr>
      </w:pPr>
      <w:bookmarkStart w:id="1" w:name="_Toc27800"/>
      <w:r>
        <w:rPr>
          <w:rFonts w:hint="eastAsia" w:ascii="宋体" w:hAnsi="宋体" w:eastAsia="宋体" w:cs="宋体"/>
          <w:b/>
          <w:bCs/>
          <w:sz w:val="28"/>
          <w:szCs w:val="28"/>
        </w:rPr>
        <w:t>第一章  投标邀请</w:t>
      </w:r>
      <w:bookmarkEnd w:id="1"/>
    </w:p>
    <w:p w14:paraId="32B9CEF4">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Cs w:val="21"/>
        </w:rPr>
      </w:pPr>
      <w:r>
        <w:rPr>
          <w:rFonts w:hint="eastAsia" w:ascii="宋体" w:hAnsi="宋体" w:eastAsia="宋体" w:cs="宋体"/>
          <w:szCs w:val="21"/>
        </w:rPr>
        <w:t>项目概况</w:t>
      </w:r>
    </w:p>
    <w:p w14:paraId="3190386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国家税务总局南平市税务局2025年食堂食材配送服务项目 </w:t>
      </w:r>
      <w:r>
        <w:rPr>
          <w:rFonts w:hint="eastAsia" w:ascii="宋体" w:hAnsi="宋体" w:eastAsia="宋体" w:cs="宋体"/>
          <w:szCs w:val="21"/>
          <w:highlight w:val="none"/>
        </w:rPr>
        <w:t>招标项目的潜在投标人应在</w:t>
      </w:r>
      <w:r>
        <w:rPr>
          <w:rFonts w:hint="eastAsia" w:ascii="宋体" w:hAnsi="宋体" w:eastAsia="宋体" w:cs="宋体"/>
          <w:szCs w:val="21"/>
          <w:highlight w:val="none"/>
          <w:u w:val="single"/>
        </w:rPr>
        <w:t>福建省中亿通招标咨询有限公司（福建省福州市鼓楼区华润万象城三期S11栋1910单元）</w:t>
      </w:r>
      <w:r>
        <w:rPr>
          <w:rFonts w:hint="eastAsia" w:ascii="宋体" w:hAnsi="宋体" w:eastAsia="宋体" w:cs="宋体"/>
          <w:szCs w:val="21"/>
          <w:highlight w:val="none"/>
        </w:rPr>
        <w:t>获取招标文件，并于</w:t>
      </w:r>
      <w:r>
        <w:rPr>
          <w:rFonts w:hint="eastAsia" w:ascii="宋体" w:hAnsi="宋体" w:eastAsia="宋体" w:cs="宋体"/>
          <w:szCs w:val="21"/>
          <w:highlight w:val="none"/>
          <w:u w:val="single"/>
        </w:rPr>
        <w:t xml:space="preserve"> 2025年</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19</w:t>
      </w:r>
      <w:r>
        <w:rPr>
          <w:rFonts w:hint="eastAsia" w:ascii="宋体" w:hAnsi="宋体" w:eastAsia="宋体" w:cs="宋体"/>
          <w:szCs w:val="21"/>
          <w:highlight w:val="none"/>
          <w:u w:val="single"/>
        </w:rPr>
        <w:t>日09点30分</w:t>
      </w:r>
      <w:r>
        <w:rPr>
          <w:rFonts w:hint="eastAsia" w:ascii="宋体" w:hAnsi="宋体" w:eastAsia="宋体" w:cs="宋体"/>
          <w:bCs/>
          <w:szCs w:val="21"/>
          <w:highlight w:val="none"/>
          <w:u w:val="single"/>
        </w:rPr>
        <w:t>（</w:t>
      </w:r>
      <w:r>
        <w:rPr>
          <w:rFonts w:hint="eastAsia" w:ascii="宋体" w:hAnsi="宋体" w:eastAsia="宋体" w:cs="宋体"/>
          <w:bCs/>
          <w:szCs w:val="21"/>
          <w:highlight w:val="none"/>
        </w:rPr>
        <w:t>北京时间）前递交投标文件</w:t>
      </w:r>
      <w:r>
        <w:rPr>
          <w:rFonts w:hint="eastAsia" w:ascii="宋体" w:hAnsi="宋体" w:eastAsia="宋体" w:cs="宋体"/>
          <w:szCs w:val="21"/>
          <w:highlight w:val="none"/>
        </w:rPr>
        <w:t>。</w:t>
      </w:r>
    </w:p>
    <w:p w14:paraId="47C4B2B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一、项目基本情况</w:t>
      </w:r>
    </w:p>
    <w:p w14:paraId="54DAA25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u w:val="single"/>
        </w:rPr>
        <w:t>FJ2025-ZXGK-C0038-B03</w:t>
      </w:r>
    </w:p>
    <w:p w14:paraId="400EC14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rPr>
        <w:t>国家税务总局南平市税务局2025年食材服务采购项目</w:t>
      </w:r>
    </w:p>
    <w:p w14:paraId="28C143A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w:t>
      </w:r>
      <w:r>
        <w:rPr>
          <w:rFonts w:hint="eastAsia" w:ascii="宋体" w:hAnsi="宋体" w:eastAsia="宋体" w:cs="宋体"/>
          <w:szCs w:val="21"/>
          <w:highlight w:val="none"/>
          <w:u w:val="single"/>
        </w:rPr>
        <w:t>238万元</w:t>
      </w:r>
    </w:p>
    <w:p w14:paraId="6E70FCB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最高限价（如有）：</w:t>
      </w:r>
      <w:r>
        <w:rPr>
          <w:rFonts w:hint="eastAsia" w:ascii="宋体" w:hAnsi="宋体" w:eastAsia="宋体" w:cs="宋体"/>
          <w:szCs w:val="21"/>
          <w:highlight w:val="none"/>
          <w:u w:val="single"/>
        </w:rPr>
        <w:t>238万元</w:t>
      </w:r>
    </w:p>
    <w:p w14:paraId="4BCF7155">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采购需求：</w:t>
      </w:r>
      <w:r>
        <w:rPr>
          <w:rFonts w:hint="eastAsia" w:ascii="宋体" w:hAnsi="宋体" w:eastAsia="宋体" w:cs="宋体"/>
          <w:szCs w:val="21"/>
          <w:highlight w:val="none"/>
          <w:u w:val="single"/>
        </w:rPr>
        <w:t>国家税务总局南平市税务局2025年食堂食材配送服务。</w:t>
      </w:r>
    </w:p>
    <w:p w14:paraId="3E8B4DF8">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合同履行期限：</w:t>
      </w:r>
      <w:r>
        <w:rPr>
          <w:rFonts w:hint="eastAsia" w:ascii="宋体" w:hAnsi="宋体" w:eastAsia="宋体" w:cs="宋体"/>
          <w:szCs w:val="21"/>
          <w:highlight w:val="none"/>
          <w:u w:val="single"/>
        </w:rPr>
        <w:t>合同生效之日起12个月。</w:t>
      </w:r>
      <w:r>
        <w:rPr>
          <w:rFonts w:hint="eastAsia" w:ascii="宋体" w:hAnsi="宋体" w:eastAsia="宋体" w:cs="宋体"/>
          <w:szCs w:val="21"/>
          <w:highlight w:val="none"/>
        </w:rPr>
        <w:t xml:space="preserve"> </w:t>
      </w:r>
    </w:p>
    <w:p w14:paraId="0474662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cs="宋体"/>
          <w:i/>
          <w:szCs w:val="21"/>
          <w:highlight w:val="none"/>
        </w:rPr>
        <w:t>不</w:t>
      </w:r>
      <w:r>
        <w:rPr>
          <w:rFonts w:hint="eastAsia" w:ascii="宋体" w:hAnsi="宋体" w:eastAsia="宋体" w:cs="宋体"/>
          <w:szCs w:val="21"/>
          <w:highlight w:val="none"/>
        </w:rPr>
        <w:t>）接受联合体投标。</w:t>
      </w:r>
    </w:p>
    <w:p w14:paraId="6717A37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二、申请人的资格要求</w:t>
      </w:r>
    </w:p>
    <w:p w14:paraId="3FE61E6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10569B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w:t>
      </w:r>
      <w:r>
        <w:rPr>
          <w:rFonts w:hint="eastAsia" w:ascii="宋体" w:hAnsi="宋体" w:eastAsia="宋体" w:cs="宋体"/>
          <w:szCs w:val="21"/>
          <w:highlight w:val="none"/>
          <w:u w:val="single"/>
        </w:rPr>
        <w:t>本项目专门面向中小企业采购（投标人应为中小微企业、监狱企业、残疾人福利性单位）</w:t>
      </w:r>
      <w:r>
        <w:rPr>
          <w:rFonts w:hint="eastAsia" w:ascii="宋体" w:hAnsi="宋体" w:eastAsia="宋体" w:cs="宋体"/>
          <w:i/>
          <w:iCs/>
          <w:szCs w:val="21"/>
          <w:highlight w:val="none"/>
          <w:u w:val="single"/>
        </w:rPr>
        <w:t>。</w:t>
      </w:r>
    </w:p>
    <w:p w14:paraId="05B6DEE6">
      <w:pPr>
        <w:spacing w:line="360" w:lineRule="auto"/>
        <w:ind w:firstLine="420" w:firstLineChars="200"/>
        <w:rPr>
          <w:rFonts w:hint="eastAsia" w:ascii="宋体" w:hAnsi="宋体" w:eastAsia="宋体" w:cs="宋体"/>
          <w:i/>
          <w:iCs/>
          <w:szCs w:val="21"/>
          <w:highlight w:val="none"/>
          <w:u w:val="single"/>
        </w:rPr>
      </w:pPr>
      <w:r>
        <w:rPr>
          <w:rFonts w:hint="eastAsia" w:ascii="宋体" w:hAnsi="宋体" w:eastAsia="宋体" w:cs="宋体"/>
          <w:szCs w:val="21"/>
          <w:highlight w:val="none"/>
        </w:rPr>
        <w:t>3.本项目的特定资格要求：</w:t>
      </w:r>
      <w:r>
        <w:rPr>
          <w:rFonts w:hint="eastAsia" w:ascii="宋体" w:hAnsi="宋体" w:eastAsia="宋体" w:cs="宋体"/>
          <w:szCs w:val="21"/>
          <w:highlight w:val="none"/>
          <w:u w:val="single"/>
        </w:rPr>
        <w:t>无。</w:t>
      </w:r>
    </w:p>
    <w:p w14:paraId="6349E97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三、获取招标文件</w:t>
      </w:r>
    </w:p>
    <w:p w14:paraId="064AAA6C">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时间：</w:t>
      </w:r>
      <w:r>
        <w:rPr>
          <w:rFonts w:hint="eastAsia" w:ascii="宋体" w:hAnsi="宋体" w:eastAsia="宋体" w:cs="宋体"/>
          <w:szCs w:val="21"/>
          <w:highlight w:val="none"/>
          <w:u w:val="single"/>
        </w:rPr>
        <w:t>2025年</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30</w:t>
      </w:r>
      <w:r>
        <w:rPr>
          <w:rFonts w:hint="eastAsia" w:ascii="宋体" w:hAnsi="宋体" w:eastAsia="宋体" w:cs="宋体"/>
          <w:szCs w:val="21"/>
          <w:highlight w:val="none"/>
          <w:u w:val="single"/>
        </w:rPr>
        <w:t>日至2025年</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日</w:t>
      </w:r>
      <w:r>
        <w:rPr>
          <w:rFonts w:hint="eastAsia" w:ascii="宋体" w:hAnsi="宋体" w:eastAsia="宋体" w:cs="宋体"/>
          <w:szCs w:val="21"/>
          <w:highlight w:val="none"/>
        </w:rPr>
        <w:t>，每天上午</w:t>
      </w:r>
      <w:r>
        <w:rPr>
          <w:rFonts w:hint="eastAsia" w:ascii="宋体" w:hAnsi="宋体" w:eastAsia="宋体" w:cs="宋体"/>
          <w:szCs w:val="21"/>
          <w:highlight w:val="none"/>
          <w:u w:val="single"/>
        </w:rPr>
        <w:t>08:30</w:t>
      </w:r>
      <w:r>
        <w:rPr>
          <w:rFonts w:hint="eastAsia" w:ascii="宋体" w:hAnsi="宋体" w:eastAsia="宋体" w:cs="宋体"/>
          <w:szCs w:val="21"/>
          <w:highlight w:val="none"/>
        </w:rPr>
        <w:t>至</w:t>
      </w:r>
      <w:r>
        <w:rPr>
          <w:rFonts w:hint="eastAsia" w:ascii="宋体" w:hAnsi="宋体" w:eastAsia="宋体" w:cs="宋体"/>
          <w:szCs w:val="21"/>
          <w:highlight w:val="none"/>
          <w:u w:val="single"/>
        </w:rPr>
        <w:t>12:00</w:t>
      </w:r>
      <w:r>
        <w:rPr>
          <w:rFonts w:hint="eastAsia" w:ascii="宋体" w:hAnsi="宋体" w:eastAsia="宋体" w:cs="宋体"/>
          <w:szCs w:val="21"/>
          <w:highlight w:val="none"/>
        </w:rPr>
        <w:t>，下午</w:t>
      </w:r>
      <w:r>
        <w:rPr>
          <w:rFonts w:hint="eastAsia" w:ascii="宋体" w:hAnsi="宋体" w:eastAsia="宋体" w:cs="宋体"/>
          <w:szCs w:val="21"/>
          <w:highlight w:val="none"/>
          <w:u w:val="single"/>
        </w:rPr>
        <w:t>14:30</w:t>
      </w:r>
      <w:r>
        <w:rPr>
          <w:rFonts w:hint="eastAsia" w:ascii="宋体" w:hAnsi="宋体" w:eastAsia="宋体" w:cs="宋体"/>
          <w:szCs w:val="21"/>
          <w:highlight w:val="none"/>
        </w:rPr>
        <w:t>至</w:t>
      </w:r>
      <w:r>
        <w:rPr>
          <w:rFonts w:hint="eastAsia" w:ascii="宋体" w:hAnsi="宋体" w:eastAsia="宋体" w:cs="宋体"/>
          <w:szCs w:val="21"/>
          <w:highlight w:val="none"/>
          <w:u w:val="single"/>
        </w:rPr>
        <w:t>18:00</w:t>
      </w:r>
      <w:r>
        <w:rPr>
          <w:rFonts w:hint="eastAsia" w:ascii="宋体" w:hAnsi="宋体" w:eastAsia="宋体" w:cs="宋体"/>
          <w:szCs w:val="21"/>
          <w:highlight w:val="none"/>
        </w:rPr>
        <w:t>（北京时间，法定节假日除外）</w:t>
      </w:r>
    </w:p>
    <w:p w14:paraId="5E161D42">
      <w:pPr>
        <w:spacing w:line="360" w:lineRule="auto"/>
        <w:ind w:firstLine="540"/>
        <w:rPr>
          <w:rFonts w:hint="eastAsia" w:ascii="宋体" w:hAnsi="宋体" w:eastAsia="宋体" w:cs="宋体"/>
          <w:szCs w:val="21"/>
          <w:highlight w:val="none"/>
          <w:u w:val="single"/>
        </w:rPr>
      </w:pPr>
      <w:r>
        <w:rPr>
          <w:rFonts w:hint="eastAsia" w:ascii="宋体" w:hAnsi="宋体" w:eastAsia="宋体" w:cs="宋体"/>
          <w:szCs w:val="21"/>
          <w:highlight w:val="none"/>
        </w:rPr>
        <w:t>地点：</w:t>
      </w:r>
      <w:r>
        <w:rPr>
          <w:rFonts w:hint="eastAsia" w:ascii="宋体" w:hAnsi="宋体" w:eastAsia="宋体" w:cs="宋体"/>
          <w:szCs w:val="21"/>
          <w:highlight w:val="none"/>
          <w:u w:val="single"/>
        </w:rPr>
        <w:t>福建省中亿通招标咨询有限公司（福建省福州市鼓楼区华润万象城三期S11栋1910单元）；</w:t>
      </w:r>
    </w:p>
    <w:p w14:paraId="345F0B6B">
      <w:pPr>
        <w:spacing w:line="360" w:lineRule="auto"/>
        <w:ind w:firstLine="540"/>
        <w:rPr>
          <w:rFonts w:hint="eastAsia" w:ascii="宋体" w:hAnsi="宋体" w:eastAsia="宋体" w:cs="宋体"/>
          <w:szCs w:val="21"/>
          <w:highlight w:val="none"/>
          <w:u w:val="single"/>
        </w:rPr>
      </w:pPr>
      <w:r>
        <w:rPr>
          <w:rFonts w:hint="eastAsia" w:ascii="宋体" w:hAnsi="宋体" w:eastAsia="宋体" w:cs="宋体"/>
          <w:szCs w:val="21"/>
          <w:highlight w:val="none"/>
        </w:rPr>
        <w:t>方式：</w:t>
      </w:r>
      <w:r>
        <w:rPr>
          <w:rFonts w:hint="eastAsia" w:ascii="宋体" w:hAnsi="宋体" w:eastAsia="宋体" w:cs="宋体"/>
          <w:szCs w:val="21"/>
          <w:highlight w:val="none"/>
          <w:u w:val="single"/>
        </w:rPr>
        <w:t>① 邮件方式报名获取招标文件事宜的投标人，按照招标公告提供的报名登记表加盖公章发送至代理机构的电子信箱(电子信箱：zytzb2019@126.com)；② 现场方式报名办理获取招标文件事宜的投标人须至代理机构进行书面登记。</w:t>
      </w:r>
    </w:p>
    <w:p w14:paraId="0A5265F4">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售价：</w:t>
      </w:r>
      <w:r>
        <w:rPr>
          <w:rFonts w:hint="eastAsia" w:ascii="宋体" w:hAnsi="宋体" w:eastAsia="宋体" w:cs="宋体"/>
          <w:szCs w:val="21"/>
          <w:highlight w:val="none"/>
          <w:u w:val="single"/>
        </w:rPr>
        <w:t>0元。</w:t>
      </w:r>
    </w:p>
    <w:p w14:paraId="07B21B3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四、提交投标文件截止时间、开标时间和地点</w:t>
      </w:r>
    </w:p>
    <w:p w14:paraId="61DCA62B">
      <w:pPr>
        <w:spacing w:line="360" w:lineRule="auto"/>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u w:val="single"/>
        </w:rPr>
        <w:t xml:space="preserve"> 2025年</w:t>
      </w:r>
      <w:r>
        <w:rPr>
          <w:rFonts w:hint="eastAsia" w:ascii="宋体" w:hAnsi="宋体" w:eastAsia="宋体" w:cs="宋体"/>
          <w:bCs/>
          <w:szCs w:val="21"/>
          <w:highlight w:val="none"/>
          <w:u w:val="single"/>
          <w:lang w:val="en-US" w:eastAsia="zh-CN"/>
        </w:rPr>
        <w:t>6</w:t>
      </w:r>
      <w:r>
        <w:rPr>
          <w:rFonts w:hint="eastAsia" w:ascii="宋体" w:hAnsi="宋体" w:eastAsia="宋体" w:cs="宋体"/>
          <w:bCs/>
          <w:szCs w:val="21"/>
          <w:highlight w:val="none"/>
          <w:u w:val="single"/>
        </w:rPr>
        <w:t>月</w:t>
      </w:r>
      <w:r>
        <w:rPr>
          <w:rFonts w:hint="eastAsia" w:ascii="宋体" w:hAnsi="宋体" w:eastAsia="宋体" w:cs="宋体"/>
          <w:bCs/>
          <w:szCs w:val="21"/>
          <w:highlight w:val="none"/>
          <w:u w:val="single"/>
          <w:lang w:val="en-US" w:eastAsia="zh-CN"/>
        </w:rPr>
        <w:t>19</w:t>
      </w:r>
      <w:r>
        <w:rPr>
          <w:rFonts w:hint="eastAsia" w:ascii="宋体" w:hAnsi="宋体" w:eastAsia="宋体" w:cs="宋体"/>
          <w:bCs/>
          <w:szCs w:val="21"/>
          <w:highlight w:val="none"/>
          <w:u w:val="single"/>
        </w:rPr>
        <w:t>日09点30分</w:t>
      </w:r>
      <w:r>
        <w:rPr>
          <w:rFonts w:hint="eastAsia" w:ascii="宋体" w:hAnsi="宋体" w:eastAsia="宋体" w:cs="宋体"/>
          <w:bCs/>
          <w:szCs w:val="21"/>
          <w:highlight w:val="none"/>
        </w:rPr>
        <w:t>（北京时间）</w:t>
      </w:r>
    </w:p>
    <w:p w14:paraId="0682BC63">
      <w:pPr>
        <w:spacing w:line="360" w:lineRule="auto"/>
        <w:ind w:firstLine="420" w:firstLineChars="200"/>
        <w:rPr>
          <w:rFonts w:hint="eastAsia" w:ascii="宋体" w:hAnsi="宋体" w:eastAsia="宋体" w:cs="宋体"/>
          <w:bCs/>
          <w:szCs w:val="21"/>
          <w:highlight w:val="none"/>
          <w:u w:val="single"/>
        </w:rPr>
      </w:pPr>
      <w:r>
        <w:rPr>
          <w:rFonts w:hint="eastAsia" w:ascii="宋体" w:hAnsi="宋体" w:eastAsia="宋体" w:cs="宋体"/>
          <w:szCs w:val="21"/>
          <w:highlight w:val="none"/>
        </w:rPr>
        <w:t>地点：</w:t>
      </w:r>
      <w:r>
        <w:rPr>
          <w:rFonts w:hint="eastAsia" w:ascii="宋体" w:hAnsi="宋体" w:eastAsia="宋体" w:cs="宋体"/>
          <w:szCs w:val="21"/>
          <w:highlight w:val="none"/>
          <w:u w:val="single"/>
        </w:rPr>
        <w:t>福建省南平市建阳区黄花山路33-2号1楼</w:t>
      </w:r>
      <w:r>
        <w:rPr>
          <w:rFonts w:hint="eastAsia" w:ascii="宋体" w:hAnsi="宋体" w:eastAsia="宋体" w:cs="宋体"/>
          <w:szCs w:val="21"/>
          <w:highlight w:val="none"/>
        </w:rPr>
        <w:t>。</w:t>
      </w:r>
    </w:p>
    <w:p w14:paraId="7AB18A1F">
      <w:pPr>
        <w:spacing w:line="360" w:lineRule="auto"/>
        <w:rPr>
          <w:rFonts w:hint="eastAsia" w:ascii="宋体" w:hAnsi="宋体" w:eastAsia="宋体" w:cs="宋体"/>
          <w:szCs w:val="21"/>
        </w:rPr>
      </w:pPr>
      <w:r>
        <w:rPr>
          <w:rFonts w:hint="eastAsia" w:ascii="宋体" w:hAnsi="宋体" w:eastAsia="宋体" w:cs="宋体"/>
          <w:szCs w:val="21"/>
        </w:rPr>
        <w:t>五、公告期限</w:t>
      </w:r>
    </w:p>
    <w:p w14:paraId="2122722E">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6390F751">
      <w:pPr>
        <w:spacing w:line="360" w:lineRule="auto"/>
        <w:rPr>
          <w:rFonts w:hint="eastAsia" w:ascii="宋体" w:hAnsi="宋体" w:eastAsia="宋体" w:cs="宋体"/>
          <w:szCs w:val="21"/>
        </w:rPr>
      </w:pPr>
      <w:r>
        <w:rPr>
          <w:rFonts w:hint="eastAsia" w:ascii="宋体" w:hAnsi="宋体" w:eastAsia="宋体" w:cs="宋体"/>
          <w:szCs w:val="21"/>
        </w:rPr>
        <w:t>六、其他补充事宜</w:t>
      </w:r>
    </w:p>
    <w:p w14:paraId="7098E1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无。</w:t>
      </w:r>
    </w:p>
    <w:p w14:paraId="4F06716A">
      <w:pPr>
        <w:spacing w:line="360" w:lineRule="auto"/>
        <w:rPr>
          <w:rFonts w:hint="eastAsia" w:ascii="宋体" w:hAnsi="宋体" w:eastAsia="宋体" w:cs="宋体"/>
          <w:szCs w:val="21"/>
        </w:rPr>
      </w:pPr>
      <w:r>
        <w:rPr>
          <w:rFonts w:hint="eastAsia" w:ascii="宋体" w:hAnsi="宋体" w:eastAsia="宋体" w:cs="宋体"/>
          <w:szCs w:val="21"/>
        </w:rPr>
        <w:t>七、对本次招标提出询问，请按以下方式联系。</w:t>
      </w:r>
    </w:p>
    <w:p w14:paraId="0C11B9C9">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1.采购人信息</w:t>
      </w:r>
    </w:p>
    <w:p w14:paraId="36923BEC">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国家税务总局南平市税务局</w:t>
      </w:r>
    </w:p>
    <w:p w14:paraId="3CA59A83">
      <w:pPr>
        <w:widowControl/>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南平市建阳区朱熹大道379号武夷国际新城</w:t>
      </w:r>
    </w:p>
    <w:p w14:paraId="4DE4180C">
      <w:pPr>
        <w:widowControl/>
        <w:spacing w:line="360" w:lineRule="auto"/>
        <w:ind w:firstLine="420" w:firstLineChars="200"/>
        <w:jc w:val="left"/>
        <w:rPr>
          <w:rFonts w:hint="eastAsia" w:ascii="宋体" w:hAnsi="宋体" w:cs="宋体"/>
          <w:szCs w:val="21"/>
          <w:u w:val="single"/>
        </w:rPr>
      </w:pPr>
      <w:r>
        <w:rPr>
          <w:rFonts w:hint="eastAsia" w:ascii="宋体" w:hAnsi="宋体" w:eastAsia="宋体" w:cs="宋体"/>
          <w:szCs w:val="21"/>
        </w:rPr>
        <w:t>联系方式：</w:t>
      </w:r>
      <w:r>
        <w:rPr>
          <w:rFonts w:hint="eastAsia" w:ascii="宋体" w:hAnsi="宋体" w:eastAsia="宋体" w:cs="宋体"/>
          <w:szCs w:val="21"/>
          <w:u w:val="single"/>
        </w:rPr>
        <w:t>吴小姐/0599-8630073</w:t>
      </w:r>
    </w:p>
    <w:p w14:paraId="1C31565B">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2.采购代理机构信息</w:t>
      </w:r>
    </w:p>
    <w:p w14:paraId="0AE8F919">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福建省中亿通招标咨询有限公司</w:t>
      </w:r>
    </w:p>
    <w:p w14:paraId="064090DF">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福建省</w:t>
      </w:r>
      <w:r>
        <w:rPr>
          <w:rFonts w:hint="eastAsia" w:ascii="宋体" w:hAnsi="宋体" w:eastAsia="宋体" w:cs="宋体"/>
          <w:u w:val="single"/>
          <w:shd w:val="clear" w:color="auto" w:fill="FFFFFF"/>
        </w:rPr>
        <w:t>福州市鼓楼区华润万象城三期S11栋1910单元</w:t>
      </w:r>
    </w:p>
    <w:p w14:paraId="1F1489E6">
      <w:pPr>
        <w:widowControl/>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联系方式：</w:t>
      </w:r>
      <w:r>
        <w:rPr>
          <w:rFonts w:hint="eastAsia" w:ascii="宋体" w:hAnsi="宋体" w:eastAsia="宋体" w:cs="宋体"/>
          <w:u w:val="single"/>
        </w:rPr>
        <w:t>陈宇、李萍、黄静、郭梅芳/0591-87527653</w:t>
      </w:r>
    </w:p>
    <w:p w14:paraId="07076E36">
      <w:pPr>
        <w:widowControl/>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3.项目联系方式</w:t>
      </w:r>
    </w:p>
    <w:p w14:paraId="059830AB">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项目联系人：</w:t>
      </w:r>
      <w:r>
        <w:rPr>
          <w:rFonts w:hint="eastAsia" w:ascii="宋体" w:hAnsi="宋体" w:eastAsia="宋体" w:cs="宋体"/>
          <w:u w:val="single"/>
        </w:rPr>
        <w:t>陈宇、李萍、黄静、郭梅芳</w:t>
      </w:r>
    </w:p>
    <w:p w14:paraId="28BBA995">
      <w:pPr>
        <w:widowControl/>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w:t>
      </w:r>
      <w:r>
        <w:rPr>
          <w:rFonts w:hint="eastAsia" w:ascii="宋体" w:hAnsi="宋体" w:eastAsia="宋体" w:cs="宋体"/>
          <w:u w:val="single"/>
        </w:rPr>
        <w:t>0591-87527653</w:t>
      </w:r>
      <w:r>
        <w:rPr>
          <w:rFonts w:hint="eastAsia" w:ascii="宋体" w:hAnsi="宋体" w:eastAsia="宋体" w:cs="宋体"/>
          <w:szCs w:val="21"/>
          <w:u w:val="single"/>
        </w:rPr>
        <w:t>　</w:t>
      </w:r>
    </w:p>
    <w:p w14:paraId="548E89BA">
      <w:pPr>
        <w:spacing w:line="360" w:lineRule="auto"/>
        <w:rPr>
          <w:rFonts w:hint="eastAsia" w:ascii="宋体" w:hAnsi="宋体" w:eastAsia="宋体" w:cs="宋体"/>
        </w:rPr>
      </w:pPr>
    </w:p>
    <w:p w14:paraId="41C01DA9">
      <w:pPr>
        <w:spacing w:line="360" w:lineRule="auto"/>
        <w:rPr>
          <w:rFonts w:hint="eastAsia" w:ascii="宋体" w:hAnsi="宋体" w:eastAsia="宋体" w:cs="宋体"/>
        </w:rPr>
        <w:sectPr>
          <w:pgSz w:w="11906" w:h="16838"/>
          <w:pgMar w:top="1440" w:right="1752" w:bottom="1440" w:left="1752" w:header="851" w:footer="992" w:gutter="0"/>
          <w:cols w:space="720" w:num="1"/>
          <w:titlePg/>
          <w:docGrid w:type="lines" w:linePitch="312" w:charSpace="0"/>
        </w:sectPr>
      </w:pPr>
    </w:p>
    <w:p w14:paraId="65D477E0">
      <w:pPr>
        <w:jc w:val="center"/>
        <w:outlineLvl w:val="0"/>
        <w:rPr>
          <w:rFonts w:hint="eastAsia" w:ascii="宋体" w:hAnsi="宋体" w:eastAsia="宋体" w:cs="宋体"/>
          <w:b/>
          <w:bCs/>
          <w:sz w:val="32"/>
          <w:szCs w:val="32"/>
        </w:rPr>
      </w:pPr>
      <w:bookmarkStart w:id="2" w:name="_Toc16158"/>
      <w:r>
        <w:rPr>
          <w:rFonts w:hint="eastAsia" w:ascii="宋体" w:hAnsi="宋体" w:eastAsia="宋体" w:cs="宋体"/>
          <w:b/>
          <w:bCs/>
          <w:sz w:val="32"/>
          <w:szCs w:val="32"/>
        </w:rPr>
        <w:t>第二章　投标人须知</w:t>
      </w:r>
      <w:bookmarkEnd w:id="2"/>
    </w:p>
    <w:p w14:paraId="08718DE6">
      <w:pPr>
        <w:jc w:val="center"/>
        <w:outlineLvl w:val="1"/>
        <w:rPr>
          <w:rFonts w:hint="eastAsia" w:ascii="宋体" w:hAnsi="宋体" w:eastAsia="宋体" w:cs="宋体"/>
          <w:sz w:val="28"/>
          <w:szCs w:val="28"/>
        </w:rPr>
      </w:pPr>
      <w:bookmarkStart w:id="3" w:name="_Toc20603"/>
      <w:r>
        <w:rPr>
          <w:rFonts w:hint="eastAsia" w:ascii="宋体" w:hAnsi="宋体" w:eastAsia="宋体" w:cs="宋体"/>
          <w:sz w:val="28"/>
          <w:szCs w:val="28"/>
        </w:rPr>
        <w:t>投标人须知前附表</w:t>
      </w:r>
      <w:bookmarkEnd w:id="3"/>
    </w:p>
    <w:tbl>
      <w:tblPr>
        <w:tblStyle w:val="2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14:paraId="701C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14:paraId="0273CF67">
            <w:pPr>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4A8EC049">
            <w:pPr>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类别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5E1F00C2">
            <w:pPr>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内容</w:t>
            </w:r>
          </w:p>
        </w:tc>
      </w:tr>
      <w:tr w14:paraId="59B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14:paraId="6A2C14C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84" w:type="dxa"/>
            <w:vMerge w:val="restart"/>
            <w:tcBorders>
              <w:top w:val="single" w:color="auto" w:sz="4" w:space="0"/>
              <w:left w:val="single" w:color="auto" w:sz="4" w:space="0"/>
              <w:right w:val="single" w:color="auto" w:sz="4" w:space="0"/>
            </w:tcBorders>
            <w:vAlign w:val="center"/>
          </w:tcPr>
          <w:p w14:paraId="1545FAFB">
            <w:pPr>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5A566B35">
            <w:pPr>
              <w:adjustRightInd w:val="0"/>
              <w:snapToGrid w:val="0"/>
              <w:spacing w:line="360" w:lineRule="auto"/>
              <w:jc w:val="left"/>
              <w:rPr>
                <w:rFonts w:hint="eastAsia" w:ascii="宋体" w:hAnsi="宋体" w:eastAsia="宋体" w:cs="宋体"/>
                <w:b/>
                <w:szCs w:val="21"/>
                <w:highlight w:val="none"/>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rPr>
              <w:t>国家税务总局南平市税务局2025年食材服务采购项目</w:t>
            </w:r>
          </w:p>
        </w:tc>
      </w:tr>
      <w:tr w14:paraId="620D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14:paraId="4F52550A">
            <w:pPr>
              <w:adjustRightInd w:val="0"/>
              <w:snapToGrid w:val="0"/>
              <w:spacing w:line="360" w:lineRule="auto"/>
              <w:jc w:val="center"/>
              <w:rPr>
                <w:rFonts w:hint="eastAsia" w:ascii="宋体" w:hAnsi="宋体" w:eastAsia="宋体" w:cs="宋体"/>
                <w:szCs w:val="21"/>
                <w:highlight w:val="none"/>
              </w:rPr>
            </w:pPr>
          </w:p>
        </w:tc>
        <w:tc>
          <w:tcPr>
            <w:tcW w:w="1984" w:type="dxa"/>
            <w:vMerge w:val="continue"/>
            <w:tcBorders>
              <w:left w:val="single" w:color="auto" w:sz="4" w:space="0"/>
              <w:right w:val="single" w:color="auto" w:sz="4" w:space="0"/>
            </w:tcBorders>
            <w:vAlign w:val="center"/>
          </w:tcPr>
          <w:p w14:paraId="21C46A49">
            <w:pPr>
              <w:adjustRightInd w:val="0"/>
              <w:snapToGrid w:val="0"/>
              <w:spacing w:line="360" w:lineRule="auto"/>
              <w:jc w:val="center"/>
              <w:rPr>
                <w:rFonts w:hint="eastAsia" w:ascii="宋体" w:hAnsi="宋体" w:eastAsia="宋体" w:cs="宋体"/>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4C24FFC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u w:val="single"/>
              </w:rPr>
              <w:t>FJ2025-ZXGK-C0038-B03</w:t>
            </w:r>
          </w:p>
        </w:tc>
      </w:tr>
      <w:tr w14:paraId="58E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14:paraId="201F94BA">
            <w:pPr>
              <w:adjustRightInd w:val="0"/>
              <w:snapToGrid w:val="0"/>
              <w:spacing w:line="360" w:lineRule="auto"/>
              <w:jc w:val="center"/>
              <w:rPr>
                <w:rFonts w:hint="eastAsia" w:ascii="宋体" w:hAnsi="宋体" w:eastAsia="宋体" w:cs="宋体"/>
                <w:szCs w:val="21"/>
                <w:highlight w:val="none"/>
              </w:rPr>
            </w:pPr>
          </w:p>
        </w:tc>
        <w:tc>
          <w:tcPr>
            <w:tcW w:w="1984" w:type="dxa"/>
            <w:vMerge w:val="continue"/>
            <w:tcBorders>
              <w:left w:val="single" w:color="auto" w:sz="4" w:space="0"/>
              <w:right w:val="single" w:color="auto" w:sz="4" w:space="0"/>
            </w:tcBorders>
            <w:vAlign w:val="center"/>
          </w:tcPr>
          <w:p w14:paraId="3D34B77E">
            <w:pPr>
              <w:adjustRightInd w:val="0"/>
              <w:snapToGrid w:val="0"/>
              <w:spacing w:line="360" w:lineRule="auto"/>
              <w:jc w:val="center"/>
              <w:rPr>
                <w:rFonts w:hint="eastAsia" w:ascii="宋体" w:hAnsi="宋体" w:eastAsia="宋体" w:cs="宋体"/>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55432AB">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项目预算：</w:t>
            </w:r>
            <w:r>
              <w:rPr>
                <w:rFonts w:hint="eastAsia" w:ascii="宋体" w:hAnsi="宋体" w:eastAsia="宋体" w:cs="宋体"/>
                <w:szCs w:val="21"/>
                <w:highlight w:val="none"/>
                <w:u w:val="single"/>
              </w:rPr>
              <w:t>238万元</w:t>
            </w:r>
          </w:p>
        </w:tc>
      </w:tr>
      <w:tr w14:paraId="29CC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vAlign w:val="center"/>
          </w:tcPr>
          <w:p w14:paraId="5973CBB7">
            <w:pPr>
              <w:adjustRightInd w:val="0"/>
              <w:snapToGrid w:val="0"/>
              <w:spacing w:line="360" w:lineRule="auto"/>
              <w:jc w:val="center"/>
              <w:rPr>
                <w:rFonts w:hint="eastAsia" w:ascii="宋体" w:hAnsi="宋体" w:eastAsia="宋体" w:cs="宋体"/>
                <w:szCs w:val="21"/>
                <w:highlight w:val="none"/>
              </w:rPr>
            </w:pPr>
          </w:p>
        </w:tc>
        <w:tc>
          <w:tcPr>
            <w:tcW w:w="1984" w:type="dxa"/>
            <w:vMerge w:val="continue"/>
            <w:tcBorders>
              <w:left w:val="single" w:color="auto" w:sz="4" w:space="0"/>
              <w:bottom w:val="single" w:color="auto" w:sz="4" w:space="0"/>
              <w:right w:val="single" w:color="auto" w:sz="4" w:space="0"/>
            </w:tcBorders>
            <w:vAlign w:val="center"/>
          </w:tcPr>
          <w:p w14:paraId="0946117A">
            <w:pPr>
              <w:adjustRightInd w:val="0"/>
              <w:snapToGrid w:val="0"/>
              <w:spacing w:line="360" w:lineRule="auto"/>
              <w:jc w:val="center"/>
              <w:rPr>
                <w:rFonts w:hint="eastAsia" w:ascii="宋体" w:hAnsi="宋体" w:eastAsia="宋体" w:cs="宋体"/>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7549599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最高限价：</w:t>
            </w:r>
            <w:r>
              <w:rPr>
                <w:rFonts w:hint="eastAsia" w:ascii="宋体" w:hAnsi="宋体" w:eastAsia="宋体" w:cs="宋体"/>
                <w:szCs w:val="21"/>
                <w:highlight w:val="none"/>
                <w:u w:val="single"/>
              </w:rPr>
              <w:t>238万元</w:t>
            </w:r>
          </w:p>
        </w:tc>
      </w:tr>
      <w:tr w14:paraId="0099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59D3ECC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84" w:type="dxa"/>
            <w:tcBorders>
              <w:top w:val="single" w:color="auto" w:sz="4" w:space="0"/>
              <w:left w:val="single" w:color="auto" w:sz="4" w:space="0"/>
              <w:bottom w:val="single" w:color="auto" w:sz="4" w:space="0"/>
              <w:right w:val="single" w:color="auto" w:sz="4" w:space="0"/>
            </w:tcBorders>
            <w:vAlign w:val="center"/>
          </w:tcPr>
          <w:p w14:paraId="4D6398F9">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728AD12C">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详见《招标文件（技术部分）》</w:t>
            </w:r>
          </w:p>
        </w:tc>
      </w:tr>
      <w:tr w14:paraId="6C31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6767D31B">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84" w:type="dxa"/>
            <w:tcBorders>
              <w:top w:val="single" w:color="auto" w:sz="4" w:space="0"/>
              <w:left w:val="single" w:color="auto" w:sz="4" w:space="0"/>
              <w:bottom w:val="single" w:color="auto" w:sz="4" w:space="0"/>
              <w:right w:val="single" w:color="auto" w:sz="4" w:space="0"/>
            </w:tcBorders>
            <w:vAlign w:val="center"/>
          </w:tcPr>
          <w:p w14:paraId="5B1BBE53">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项目属性和类别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0FAF163">
            <w:pPr>
              <w:adjustRightInd w:val="0"/>
              <w:snapToGrid w:val="0"/>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项目属性：</w:t>
            </w:r>
            <w:r>
              <w:rPr>
                <w:rFonts w:hint="eastAsia" w:ascii="宋体" w:hAnsi="宋体" w:eastAsia="宋体" w:cs="宋体"/>
                <w:szCs w:val="21"/>
                <w:highlight w:val="none"/>
              </w:rPr>
              <w:sym w:font="Wingdings 2" w:char="F0A3"/>
            </w:r>
            <w:r>
              <w:rPr>
                <w:rFonts w:hint="eastAsia" w:ascii="宋体" w:hAnsi="宋体" w:eastAsia="宋体" w:cs="宋体"/>
                <w:szCs w:val="21"/>
                <w:highlight w:val="none"/>
              </w:rPr>
              <w:t xml:space="preserve">货物           </w:t>
            </w:r>
            <w:r>
              <w:rPr>
                <w:rFonts w:hint="eastAsia" w:ascii="宋体" w:hAnsi="宋体" w:eastAsia="宋体" w:cs="宋体"/>
                <w:szCs w:val="21"/>
                <w:highlight w:val="none"/>
              </w:rPr>
              <w:sym w:font="Wingdings 2" w:char="0052"/>
            </w:r>
            <w:r>
              <w:rPr>
                <w:rFonts w:hint="eastAsia" w:ascii="宋体" w:hAnsi="宋体" w:eastAsia="宋体" w:cs="宋体"/>
                <w:szCs w:val="21"/>
                <w:highlight w:val="none"/>
              </w:rPr>
              <w:t>服务</w:t>
            </w:r>
          </w:p>
          <w:p w14:paraId="1AFCD69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b/>
                <w:bCs/>
                <w:szCs w:val="21"/>
                <w:highlight w:val="none"/>
              </w:rPr>
              <w:t>项目类别：</w:t>
            </w:r>
            <w:r>
              <w:rPr>
                <w:rFonts w:hint="eastAsia" w:ascii="宋体" w:hAnsi="宋体" w:eastAsia="宋体" w:cs="宋体"/>
                <w:szCs w:val="21"/>
                <w:highlight w:val="none"/>
              </w:rPr>
              <w:sym w:font="Wingdings 2" w:char="00A3"/>
            </w:r>
            <w:r>
              <w:rPr>
                <w:rFonts w:hint="eastAsia" w:ascii="宋体" w:hAnsi="宋体" w:eastAsia="宋体" w:cs="宋体"/>
                <w:szCs w:val="21"/>
                <w:highlight w:val="none"/>
              </w:rPr>
              <w:t xml:space="preserve">信息化项目     </w:t>
            </w:r>
            <w:r>
              <w:rPr>
                <w:rFonts w:hint="eastAsia" w:ascii="宋体" w:hAnsi="宋体" w:eastAsia="宋体" w:cs="宋体"/>
                <w:szCs w:val="21"/>
                <w:highlight w:val="none"/>
              </w:rPr>
              <w:sym w:font="Wingdings 2" w:char="0052"/>
            </w:r>
            <w:r>
              <w:rPr>
                <w:rFonts w:hint="eastAsia" w:ascii="宋体" w:hAnsi="宋体" w:eastAsia="宋体" w:cs="宋体"/>
                <w:szCs w:val="21"/>
                <w:highlight w:val="none"/>
              </w:rPr>
              <w:t>非信息化项目</w:t>
            </w:r>
          </w:p>
        </w:tc>
      </w:tr>
      <w:tr w14:paraId="7188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76BB9B3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984" w:type="dxa"/>
            <w:tcBorders>
              <w:top w:val="single" w:color="auto" w:sz="4" w:space="0"/>
              <w:left w:val="single" w:color="auto" w:sz="4" w:space="0"/>
              <w:bottom w:val="single" w:color="auto" w:sz="4" w:space="0"/>
              <w:right w:val="single" w:color="auto" w:sz="4" w:space="0"/>
            </w:tcBorders>
            <w:vAlign w:val="center"/>
          </w:tcPr>
          <w:p w14:paraId="7433916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4F494E5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名称：</w:t>
            </w:r>
            <w:r>
              <w:rPr>
                <w:rFonts w:hint="eastAsia" w:ascii="宋体" w:hAnsi="宋体" w:eastAsia="宋体" w:cs="宋体"/>
                <w:szCs w:val="21"/>
                <w:highlight w:val="none"/>
                <w:u w:val="single"/>
              </w:rPr>
              <w:t>国家税务总局南平市税务局</w:t>
            </w:r>
          </w:p>
          <w:p w14:paraId="764F9F0B">
            <w:pPr>
              <w:adjustRightInd w:val="0"/>
              <w:snapToGrid w:val="0"/>
              <w:spacing w:line="360" w:lineRule="auto"/>
              <w:jc w:val="left"/>
              <w:rPr>
                <w:rFonts w:hint="eastAsia" w:ascii="宋体" w:hAnsi="宋体" w:eastAsia="宋体" w:cs="宋体"/>
                <w:bCs/>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南平市建阳区朱熹大道379号武夷国际新城</w:t>
            </w:r>
          </w:p>
          <w:p w14:paraId="22246971">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联系</w:t>
            </w:r>
            <w:r>
              <w:rPr>
                <w:rFonts w:hint="eastAsia" w:ascii="宋体" w:hAnsi="宋体" w:eastAsia="宋体" w:cs="宋体"/>
                <w:bCs/>
                <w:szCs w:val="21"/>
                <w:highlight w:val="none"/>
              </w:rPr>
              <w:t>电话：</w:t>
            </w:r>
            <w:r>
              <w:rPr>
                <w:rFonts w:hint="eastAsia" w:ascii="宋体" w:hAnsi="宋体" w:eastAsia="宋体" w:cs="宋体"/>
                <w:szCs w:val="21"/>
                <w:highlight w:val="none"/>
                <w:u w:val="single"/>
              </w:rPr>
              <w:t>吴小姐/0599-8630073</w:t>
            </w:r>
          </w:p>
        </w:tc>
      </w:tr>
      <w:tr w14:paraId="589A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3A7B1066">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984" w:type="dxa"/>
            <w:tcBorders>
              <w:top w:val="single" w:color="auto" w:sz="4" w:space="0"/>
              <w:left w:val="single" w:color="auto" w:sz="4" w:space="0"/>
              <w:bottom w:val="single" w:color="auto" w:sz="4" w:space="0"/>
              <w:right w:val="single" w:color="auto" w:sz="4" w:space="0"/>
            </w:tcBorders>
            <w:vAlign w:val="center"/>
          </w:tcPr>
          <w:p w14:paraId="6774EF63">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6EED8165">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名称：</w:t>
            </w:r>
            <w:r>
              <w:rPr>
                <w:rFonts w:hint="eastAsia" w:ascii="宋体" w:hAnsi="宋体" w:eastAsia="宋体" w:cs="宋体"/>
                <w:szCs w:val="21"/>
                <w:highlight w:val="none"/>
                <w:u w:val="single"/>
              </w:rPr>
              <w:t>福建省中亿通招标咨询有限公司</w:t>
            </w:r>
          </w:p>
          <w:p w14:paraId="56A325F4">
            <w:pPr>
              <w:adjustRightInd w:val="0"/>
              <w:snapToGrid w:val="0"/>
              <w:spacing w:line="360" w:lineRule="auto"/>
              <w:jc w:val="left"/>
              <w:rPr>
                <w:rFonts w:hint="eastAsia" w:ascii="宋体" w:hAnsi="宋体" w:eastAsia="宋体" w:cs="宋体"/>
                <w:bCs/>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福建省</w:t>
            </w:r>
            <w:r>
              <w:rPr>
                <w:rFonts w:hint="eastAsia" w:ascii="宋体" w:hAnsi="宋体" w:eastAsia="宋体" w:cs="宋体"/>
                <w:highlight w:val="none"/>
                <w:u w:val="single"/>
                <w:shd w:val="clear" w:color="auto" w:fill="FFFFFF"/>
              </w:rPr>
              <w:t>福州市鼓楼区华润万象城三期S11栋1910单元</w:t>
            </w:r>
          </w:p>
          <w:p w14:paraId="3E037656">
            <w:pPr>
              <w:adjustRightInd w:val="0"/>
              <w:snapToGrid w:val="0"/>
              <w:spacing w:line="360" w:lineRule="auto"/>
              <w:jc w:val="left"/>
              <w:rPr>
                <w:rFonts w:hint="eastAsia" w:ascii="宋体" w:hAnsi="宋体" w:eastAsia="宋体" w:cs="宋体"/>
                <w:szCs w:val="21"/>
                <w:highlight w:val="none"/>
                <w:u w:val="single"/>
              </w:rPr>
            </w:pPr>
            <w:r>
              <w:rPr>
                <w:rFonts w:hint="eastAsia" w:ascii="宋体" w:hAnsi="宋体" w:eastAsia="宋体" w:cs="宋体"/>
                <w:szCs w:val="21"/>
                <w:highlight w:val="none"/>
              </w:rPr>
              <w:t>联系</w:t>
            </w:r>
            <w:r>
              <w:rPr>
                <w:rFonts w:hint="eastAsia" w:ascii="宋体" w:hAnsi="宋体" w:eastAsia="宋体" w:cs="宋体"/>
                <w:bCs/>
                <w:szCs w:val="21"/>
                <w:highlight w:val="none"/>
              </w:rPr>
              <w:t>电话：</w:t>
            </w:r>
            <w:r>
              <w:rPr>
                <w:rFonts w:hint="eastAsia" w:ascii="宋体" w:hAnsi="宋体" w:eastAsia="宋体" w:cs="宋体"/>
                <w:bCs/>
                <w:szCs w:val="21"/>
                <w:highlight w:val="none"/>
                <w:u w:val="single"/>
              </w:rPr>
              <w:t>陈宇、</w:t>
            </w:r>
            <w:r>
              <w:rPr>
                <w:rFonts w:hint="eastAsia" w:ascii="宋体" w:hAnsi="宋体" w:eastAsia="宋体" w:cs="宋体"/>
                <w:highlight w:val="none"/>
                <w:u w:val="single"/>
              </w:rPr>
              <w:t>李萍、黄静、郭梅芳/0591-87527653</w:t>
            </w:r>
            <w:r>
              <w:rPr>
                <w:rFonts w:hint="eastAsia" w:ascii="宋体" w:hAnsi="宋体" w:eastAsia="宋体" w:cs="宋体"/>
                <w:szCs w:val="21"/>
                <w:highlight w:val="none"/>
                <w:u w:val="single"/>
              </w:rPr>
              <w:t xml:space="preserve"> </w:t>
            </w:r>
          </w:p>
          <w:p w14:paraId="24DA757B">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邮箱：</w:t>
            </w:r>
            <w:r>
              <w:rPr>
                <w:rFonts w:hint="eastAsia" w:ascii="宋体" w:hAnsi="宋体" w:eastAsia="宋体" w:cs="宋体"/>
                <w:szCs w:val="21"/>
                <w:highlight w:val="none"/>
                <w:u w:val="single"/>
              </w:rPr>
              <w:t xml:space="preserve">   zytzb2019@126.com    </w:t>
            </w:r>
          </w:p>
        </w:tc>
      </w:tr>
      <w:tr w14:paraId="7A0A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195A7367">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984" w:type="dxa"/>
            <w:tcBorders>
              <w:top w:val="single" w:color="auto" w:sz="4" w:space="0"/>
              <w:left w:val="single" w:color="auto" w:sz="4" w:space="0"/>
              <w:bottom w:val="single" w:color="auto" w:sz="4" w:space="0"/>
              <w:right w:val="single" w:color="auto" w:sz="4" w:space="0"/>
            </w:tcBorders>
            <w:vAlign w:val="center"/>
          </w:tcPr>
          <w:p w14:paraId="75BEFF72">
            <w:pPr>
              <w:rPr>
                <w:rFonts w:hint="eastAsia" w:ascii="宋体" w:hAnsi="宋体" w:eastAsia="宋体" w:cs="宋体"/>
                <w:szCs w:val="21"/>
                <w:highlight w:val="none"/>
              </w:rPr>
            </w:pPr>
            <w:r>
              <w:rPr>
                <w:rFonts w:hint="eastAsia" w:ascii="宋体" w:hAnsi="宋体" w:eastAsia="宋体" w:cs="宋体"/>
                <w:szCs w:val="21"/>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1DA1EA07">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1.符合国家</w:t>
            </w:r>
            <w:r>
              <w:rPr>
                <w:rFonts w:hint="eastAsia" w:ascii="宋体" w:hAnsi="宋体" w:eastAsia="宋体" w:cs="宋体"/>
                <w:szCs w:val="21"/>
                <w:highlight w:val="none"/>
              </w:rPr>
              <w:t>有关</w:t>
            </w:r>
            <w:r>
              <w:rPr>
                <w:rFonts w:hint="eastAsia" w:ascii="宋体" w:hAnsi="宋体" w:eastAsia="宋体" w:cs="宋体"/>
                <w:szCs w:val="21"/>
                <w:highlight w:val="none"/>
                <w:lang w:val="zh-CN"/>
              </w:rPr>
              <w:t>法律规定，在中国境内（指关境内）注册。</w:t>
            </w:r>
          </w:p>
          <w:p w14:paraId="162FF3D7">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2.具备</w:t>
            </w:r>
            <w:r>
              <w:rPr>
                <w:rFonts w:hint="eastAsia" w:ascii="宋体" w:hAnsi="宋体" w:eastAsia="宋体" w:cs="宋体"/>
                <w:szCs w:val="21"/>
                <w:highlight w:val="none"/>
              </w:rPr>
              <w:t>《政府采购法》</w:t>
            </w:r>
            <w:r>
              <w:rPr>
                <w:rFonts w:hint="eastAsia" w:ascii="宋体" w:hAnsi="宋体" w:eastAsia="宋体" w:cs="宋体"/>
                <w:szCs w:val="21"/>
                <w:highlight w:val="none"/>
                <w:lang w:val="zh-CN"/>
              </w:rPr>
              <w:t>第二十二条的规定：</w:t>
            </w:r>
          </w:p>
          <w:p w14:paraId="1F5EAC7F">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（1）具有独立</w:t>
            </w:r>
            <w:r>
              <w:rPr>
                <w:rFonts w:hint="eastAsia" w:ascii="宋体" w:hAnsi="宋体" w:eastAsia="宋体" w:cs="宋体"/>
                <w:szCs w:val="21"/>
                <w:highlight w:val="none"/>
              </w:rPr>
              <w:t>承担</w:t>
            </w:r>
            <w:r>
              <w:rPr>
                <w:rFonts w:hint="eastAsia" w:ascii="宋体" w:hAnsi="宋体" w:eastAsia="宋体" w:cs="宋体"/>
                <w:szCs w:val="21"/>
                <w:highlight w:val="none"/>
                <w:lang w:val="zh-CN"/>
              </w:rPr>
              <w:t>民事责任的能力；</w:t>
            </w:r>
          </w:p>
          <w:p w14:paraId="744DC8C2">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（2）具有良好的商业信誉和健全的财务会计制度；</w:t>
            </w:r>
          </w:p>
          <w:p w14:paraId="12B3EA89">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（3）具有履行</w:t>
            </w:r>
            <w:r>
              <w:rPr>
                <w:rFonts w:hint="eastAsia" w:ascii="宋体" w:hAnsi="宋体" w:eastAsia="宋体" w:cs="宋体"/>
                <w:szCs w:val="21"/>
                <w:highlight w:val="none"/>
              </w:rPr>
              <w:t>合同</w:t>
            </w:r>
            <w:r>
              <w:rPr>
                <w:rFonts w:hint="eastAsia" w:ascii="宋体" w:hAnsi="宋体" w:eastAsia="宋体" w:cs="宋体"/>
                <w:szCs w:val="21"/>
                <w:highlight w:val="none"/>
                <w:lang w:val="zh-CN"/>
              </w:rPr>
              <w:t>所必需的设备和专业技术能力；</w:t>
            </w:r>
          </w:p>
          <w:p w14:paraId="5C5607A9">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（4）有依法</w:t>
            </w:r>
            <w:r>
              <w:rPr>
                <w:rFonts w:hint="eastAsia" w:ascii="宋体" w:hAnsi="宋体" w:eastAsia="宋体" w:cs="宋体"/>
                <w:szCs w:val="21"/>
                <w:highlight w:val="none"/>
              </w:rPr>
              <w:t>缴纳</w:t>
            </w:r>
            <w:r>
              <w:rPr>
                <w:rFonts w:hint="eastAsia" w:ascii="宋体" w:hAnsi="宋体" w:eastAsia="宋体" w:cs="宋体"/>
                <w:szCs w:val="21"/>
                <w:highlight w:val="none"/>
                <w:lang w:val="zh-CN"/>
              </w:rPr>
              <w:t>税收和社会保障资金的良好记录；</w:t>
            </w:r>
          </w:p>
          <w:p w14:paraId="311D898A">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（5）参加政府</w:t>
            </w:r>
            <w:r>
              <w:rPr>
                <w:rFonts w:hint="eastAsia" w:ascii="宋体" w:hAnsi="宋体" w:eastAsia="宋体" w:cs="宋体"/>
                <w:szCs w:val="21"/>
                <w:highlight w:val="none"/>
              </w:rPr>
              <w:t>采购</w:t>
            </w:r>
            <w:r>
              <w:rPr>
                <w:rFonts w:hint="eastAsia" w:ascii="宋体" w:hAnsi="宋体" w:eastAsia="宋体" w:cs="宋体"/>
                <w:szCs w:val="21"/>
                <w:highlight w:val="none"/>
                <w:lang w:val="zh-CN"/>
              </w:rPr>
              <w:t>活动前三年内，在经营活动中没有重大违法记录；</w:t>
            </w:r>
          </w:p>
          <w:p w14:paraId="32DB360A">
            <w:pPr>
              <w:adjustRightInd w:val="0"/>
              <w:snapToGrid w:val="0"/>
              <w:spacing w:line="360" w:lineRule="auto"/>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（6）法律、行政法规规定的其他条件。</w:t>
            </w:r>
          </w:p>
          <w:p w14:paraId="12E3946F">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r>
              <w:rPr>
                <w:rFonts w:hint="eastAsia" w:ascii="宋体" w:hAnsi="宋体" w:eastAsia="宋体" w:cs="宋体"/>
                <w:szCs w:val="21"/>
                <w:highlight w:val="none"/>
                <w:u w:val="single"/>
              </w:rPr>
              <w:t xml:space="preserve"> 投标人须具有《食品经营许可证》或《食品生产许可证》或《食品药品经营许可证》或《食品药品生产经营许可证》，提供证书复印件并加盖单位公章（因国家“多证合一”改革政策，各地证照整合未统一标准，本项目可能涉及其他的已融合“《食品经营许可证》或《食品生产许可证》或《食品药品经营许可证》或《食品药品生产经营许可证》”证照，投标人应按其所属省市实际情况提供相应证照复印件并加盖单位公章，并在投标文件中作出书面说明，证书均须在有效期内。</w:t>
            </w:r>
          </w:p>
        </w:tc>
      </w:tr>
      <w:tr w14:paraId="2BF8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7B55113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984" w:type="dxa"/>
            <w:tcBorders>
              <w:top w:val="single" w:color="auto" w:sz="4" w:space="0"/>
              <w:left w:val="single" w:color="auto" w:sz="4" w:space="0"/>
              <w:bottom w:val="single" w:color="auto" w:sz="4" w:space="0"/>
              <w:right w:val="single" w:color="auto" w:sz="4" w:space="0"/>
            </w:tcBorders>
            <w:vAlign w:val="center"/>
          </w:tcPr>
          <w:p w14:paraId="796F4A53">
            <w:pPr>
              <w:rPr>
                <w:rFonts w:hint="eastAsia" w:ascii="宋体" w:hAnsi="宋体" w:eastAsia="宋体" w:cs="宋体"/>
                <w:szCs w:val="21"/>
                <w:highlight w:val="none"/>
              </w:rPr>
            </w:pPr>
            <w:r>
              <w:rPr>
                <w:rFonts w:hint="eastAsia" w:ascii="宋体" w:hAnsi="宋体" w:eastAsia="宋体" w:cs="宋体"/>
                <w:szCs w:val="21"/>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28A8A90F">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不接受</w:t>
            </w:r>
          </w:p>
        </w:tc>
      </w:tr>
      <w:tr w14:paraId="500D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62F12D2D">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984" w:type="dxa"/>
            <w:tcBorders>
              <w:top w:val="single" w:color="auto" w:sz="4" w:space="0"/>
              <w:left w:val="single" w:color="auto" w:sz="4" w:space="0"/>
              <w:bottom w:val="single" w:color="auto" w:sz="4" w:space="0"/>
              <w:right w:val="single" w:color="auto" w:sz="4" w:space="0"/>
            </w:tcBorders>
            <w:vAlign w:val="center"/>
          </w:tcPr>
          <w:p w14:paraId="6E5D067B">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3D3B4B74">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本项目为服务类采购项目，采购标的对应的中小企业划分标准所属行业为</w:t>
            </w:r>
            <w:r>
              <w:rPr>
                <w:rFonts w:hint="eastAsia" w:ascii="宋体" w:hAnsi="宋体" w:eastAsia="宋体" w:cs="宋体"/>
                <w:szCs w:val="21"/>
                <w:highlight w:val="none"/>
                <w:lang w:eastAsia="zh-CN"/>
              </w:rPr>
              <w:t>：</w:t>
            </w:r>
            <w:r>
              <w:rPr>
                <w:rFonts w:hint="eastAsia" w:ascii="宋体" w:hAnsi="宋体" w:eastAsia="宋体" w:cs="宋体"/>
                <w:szCs w:val="21"/>
                <w:highlight w:val="none"/>
              </w:rPr>
              <w:t>批发业。</w:t>
            </w:r>
          </w:p>
        </w:tc>
      </w:tr>
      <w:tr w14:paraId="5F43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0ED86948">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1984" w:type="dxa"/>
            <w:tcBorders>
              <w:top w:val="single" w:color="auto" w:sz="4" w:space="0"/>
              <w:left w:val="single" w:color="auto" w:sz="4" w:space="0"/>
              <w:bottom w:val="single" w:color="auto" w:sz="4" w:space="0"/>
              <w:right w:val="single" w:color="auto" w:sz="4" w:space="0"/>
            </w:tcBorders>
            <w:vAlign w:val="center"/>
          </w:tcPr>
          <w:p w14:paraId="7EA0B27E">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535CA255">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是否允许中标人将本项目的非主体、非关键性工作进行分包：</w:t>
            </w:r>
          </w:p>
          <w:p w14:paraId="2D00F08B">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采购包1：☑不允许</w:t>
            </w:r>
          </w:p>
        </w:tc>
      </w:tr>
      <w:tr w14:paraId="7014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15E6839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984" w:type="dxa"/>
            <w:vAlign w:val="center"/>
          </w:tcPr>
          <w:p w14:paraId="1D169689">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核心产品</w:t>
            </w:r>
          </w:p>
        </w:tc>
        <w:tc>
          <w:tcPr>
            <w:tcW w:w="6058" w:type="dxa"/>
            <w:gridSpan w:val="2"/>
            <w:vAlign w:val="center"/>
          </w:tcPr>
          <w:p w14:paraId="1B95A33B">
            <w:pPr>
              <w:adjustRightInd w:val="0"/>
              <w:snapToGrid w:val="0"/>
              <w:spacing w:line="360" w:lineRule="auto"/>
              <w:jc w:val="left"/>
              <w:rPr>
                <w:rFonts w:hint="eastAsia" w:ascii="宋体" w:hAnsi="宋体" w:eastAsia="宋体" w:cs="宋体"/>
                <w:szCs w:val="21"/>
                <w:highlight w:val="none"/>
                <w:u w:val="singl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本项目不适用</w:t>
            </w:r>
          </w:p>
        </w:tc>
      </w:tr>
      <w:tr w14:paraId="2359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10386AAB">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984" w:type="dxa"/>
            <w:vAlign w:val="center"/>
          </w:tcPr>
          <w:p w14:paraId="542301A7">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采购进口产品</w:t>
            </w:r>
          </w:p>
        </w:tc>
        <w:tc>
          <w:tcPr>
            <w:tcW w:w="6058" w:type="dxa"/>
            <w:gridSpan w:val="2"/>
            <w:vAlign w:val="center"/>
          </w:tcPr>
          <w:p w14:paraId="45F2DF6E">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本采购项目拒绝进口产品参加投标</w:t>
            </w:r>
          </w:p>
        </w:tc>
      </w:tr>
      <w:tr w14:paraId="2DE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92EB397">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984" w:type="dxa"/>
            <w:vAlign w:val="center"/>
          </w:tcPr>
          <w:p w14:paraId="5D00BED2">
            <w:pPr>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信息发布媒体</w:t>
            </w:r>
          </w:p>
        </w:tc>
        <w:tc>
          <w:tcPr>
            <w:tcW w:w="6058" w:type="dxa"/>
            <w:gridSpan w:val="2"/>
            <w:vAlign w:val="center"/>
          </w:tcPr>
          <w:p w14:paraId="7A7BE6CD">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eastAsia="宋体" w:cs="宋体"/>
                <w:szCs w:val="21"/>
                <w:highlight w:val="none"/>
              </w:rPr>
              <w:t>www.ccgp.gov.cn</w:t>
            </w:r>
            <w:r>
              <w:rPr>
                <w:rFonts w:hint="eastAsia" w:ascii="宋体" w:hAnsi="宋体" w:eastAsia="宋体" w:cs="宋体"/>
                <w:szCs w:val="21"/>
                <w:highlight w:val="none"/>
              </w:rPr>
              <w:fldChar w:fldCharType="end"/>
            </w:r>
            <w:r>
              <w:rPr>
                <w:rFonts w:hint="eastAsia" w:ascii="宋体" w:hAnsi="宋体" w:eastAsia="宋体" w:cs="宋体"/>
                <w:szCs w:val="21"/>
                <w:highlight w:val="none"/>
              </w:rPr>
              <w:t>）</w:t>
            </w:r>
          </w:p>
        </w:tc>
      </w:tr>
      <w:tr w14:paraId="6FB4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00CA593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1984" w:type="dxa"/>
            <w:vAlign w:val="center"/>
          </w:tcPr>
          <w:p w14:paraId="521C085E">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获取招标文件</w:t>
            </w:r>
          </w:p>
          <w:p w14:paraId="2632639A">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时间、地点和</w:t>
            </w:r>
          </w:p>
          <w:p w14:paraId="7920F1B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方式等</w:t>
            </w:r>
          </w:p>
        </w:tc>
        <w:tc>
          <w:tcPr>
            <w:tcW w:w="6058" w:type="dxa"/>
            <w:gridSpan w:val="2"/>
            <w:vAlign w:val="center"/>
          </w:tcPr>
          <w:p w14:paraId="3FE6E9C4">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时间</w:t>
            </w:r>
            <w:r>
              <w:rPr>
                <w:rFonts w:hint="eastAsia" w:ascii="宋体" w:hAnsi="宋体" w:eastAsia="宋体" w:cs="宋体"/>
                <w:b/>
                <w:bCs/>
                <w:szCs w:val="21"/>
                <w:highlight w:val="none"/>
              </w:rPr>
              <w:t>：</w:t>
            </w:r>
            <w:r>
              <w:rPr>
                <w:rFonts w:hint="eastAsia" w:ascii="宋体" w:hAnsi="宋体" w:eastAsia="宋体" w:cs="宋体"/>
                <w:b/>
                <w:bCs/>
                <w:szCs w:val="21"/>
                <w:highlight w:val="none"/>
                <w:u w:val="single"/>
              </w:rPr>
              <w:t>2025年</w:t>
            </w:r>
            <w:r>
              <w:rPr>
                <w:rFonts w:hint="eastAsia" w:ascii="宋体" w:hAnsi="宋体" w:eastAsia="宋体" w:cs="宋体"/>
                <w:b/>
                <w:bCs/>
                <w:szCs w:val="21"/>
                <w:highlight w:val="none"/>
                <w:u w:val="single"/>
                <w:lang w:val="en-US" w:eastAsia="zh-CN"/>
              </w:rPr>
              <w:t>5</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30</w:t>
            </w:r>
            <w:r>
              <w:rPr>
                <w:rFonts w:hint="eastAsia" w:ascii="宋体" w:hAnsi="宋体" w:eastAsia="宋体" w:cs="宋体"/>
                <w:b/>
                <w:bCs/>
                <w:szCs w:val="21"/>
                <w:highlight w:val="none"/>
                <w:u w:val="single"/>
              </w:rPr>
              <w:t>日至2025年</w:t>
            </w:r>
            <w:r>
              <w:rPr>
                <w:rFonts w:hint="eastAsia" w:ascii="宋体" w:hAnsi="宋体" w:eastAsia="宋体" w:cs="宋体"/>
                <w:b/>
                <w:bCs/>
                <w:szCs w:val="21"/>
                <w:highlight w:val="none"/>
                <w:u w:val="single"/>
                <w:lang w:val="en-US" w:eastAsia="zh-CN"/>
              </w:rPr>
              <w:t>6</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6</w:t>
            </w:r>
            <w:r>
              <w:rPr>
                <w:rFonts w:hint="eastAsia" w:ascii="宋体" w:hAnsi="宋体" w:eastAsia="宋体" w:cs="宋体"/>
                <w:b/>
                <w:bCs/>
                <w:szCs w:val="21"/>
                <w:highlight w:val="none"/>
                <w:u w:val="single"/>
              </w:rPr>
              <w:t>日</w:t>
            </w:r>
            <w:r>
              <w:rPr>
                <w:rFonts w:hint="eastAsia" w:ascii="宋体" w:hAnsi="宋体" w:eastAsia="宋体" w:cs="宋体"/>
                <w:szCs w:val="21"/>
                <w:highlight w:val="none"/>
              </w:rPr>
              <w:t>，每天上午</w:t>
            </w:r>
            <w:r>
              <w:rPr>
                <w:rFonts w:hint="eastAsia" w:ascii="宋体" w:hAnsi="宋体" w:eastAsia="宋体" w:cs="宋体"/>
                <w:szCs w:val="21"/>
                <w:highlight w:val="none"/>
                <w:u w:val="single"/>
              </w:rPr>
              <w:t>08:30</w:t>
            </w:r>
            <w:r>
              <w:rPr>
                <w:rFonts w:hint="eastAsia" w:ascii="宋体" w:hAnsi="宋体" w:eastAsia="宋体" w:cs="宋体"/>
                <w:szCs w:val="21"/>
                <w:highlight w:val="none"/>
              </w:rPr>
              <w:t>至</w:t>
            </w:r>
            <w:r>
              <w:rPr>
                <w:rFonts w:hint="eastAsia" w:ascii="宋体" w:hAnsi="宋体" w:eastAsia="宋体" w:cs="宋体"/>
                <w:szCs w:val="21"/>
                <w:highlight w:val="none"/>
                <w:u w:val="single"/>
              </w:rPr>
              <w:t>12:00</w:t>
            </w:r>
            <w:r>
              <w:rPr>
                <w:rFonts w:hint="eastAsia" w:ascii="宋体" w:hAnsi="宋体" w:eastAsia="宋体" w:cs="宋体"/>
                <w:szCs w:val="21"/>
                <w:highlight w:val="none"/>
              </w:rPr>
              <w:t>，下午</w:t>
            </w:r>
            <w:r>
              <w:rPr>
                <w:rFonts w:hint="eastAsia" w:ascii="宋体" w:hAnsi="宋体" w:eastAsia="宋体" w:cs="宋体"/>
                <w:szCs w:val="21"/>
                <w:highlight w:val="none"/>
                <w:u w:val="single"/>
              </w:rPr>
              <w:t>14:30</w:t>
            </w:r>
            <w:r>
              <w:rPr>
                <w:rFonts w:hint="eastAsia" w:ascii="宋体" w:hAnsi="宋体" w:eastAsia="宋体" w:cs="宋体"/>
                <w:szCs w:val="21"/>
                <w:highlight w:val="none"/>
              </w:rPr>
              <w:t>至</w:t>
            </w:r>
            <w:r>
              <w:rPr>
                <w:rFonts w:hint="eastAsia" w:ascii="宋体" w:hAnsi="宋体" w:eastAsia="宋体" w:cs="宋体"/>
                <w:szCs w:val="21"/>
                <w:highlight w:val="none"/>
                <w:u w:val="single"/>
              </w:rPr>
              <w:t>18:00</w:t>
            </w:r>
            <w:r>
              <w:rPr>
                <w:rFonts w:hint="eastAsia" w:ascii="宋体" w:hAnsi="宋体" w:eastAsia="宋体" w:cs="宋体"/>
                <w:szCs w:val="21"/>
                <w:highlight w:val="none"/>
              </w:rPr>
              <w:t>（北京时间，法定节假日除外）</w:t>
            </w:r>
          </w:p>
          <w:p w14:paraId="25620136">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b/>
                <w:szCs w:val="21"/>
                <w:highlight w:val="none"/>
              </w:rPr>
              <w:t>地点：</w:t>
            </w:r>
            <w:r>
              <w:rPr>
                <w:rFonts w:hint="eastAsia" w:ascii="宋体" w:hAnsi="宋体" w:eastAsia="宋体" w:cs="宋体"/>
                <w:szCs w:val="21"/>
                <w:highlight w:val="none"/>
                <w:u w:val="single"/>
              </w:rPr>
              <w:t>福建省中亿通招标咨询有限公司（</w:t>
            </w:r>
            <w:r>
              <w:rPr>
                <w:rFonts w:hint="eastAsia" w:ascii="宋体" w:hAnsi="宋体" w:eastAsia="宋体" w:cs="宋体"/>
                <w:highlight w:val="none"/>
                <w:u w:val="single"/>
                <w:shd w:val="clear" w:color="auto" w:fill="FFFFFF"/>
              </w:rPr>
              <w:t>福建省福州市鼓楼区华润万象城三期S11栋1910单元</w:t>
            </w:r>
            <w:r>
              <w:rPr>
                <w:rFonts w:hint="eastAsia" w:ascii="宋体" w:hAnsi="宋体" w:eastAsia="宋体" w:cs="宋体"/>
                <w:szCs w:val="21"/>
                <w:highlight w:val="none"/>
                <w:u w:val="single"/>
              </w:rPr>
              <w:t>）</w:t>
            </w:r>
          </w:p>
          <w:p w14:paraId="7F290B09">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方式：</w:t>
            </w:r>
            <w:r>
              <w:rPr>
                <w:rFonts w:hint="eastAsia" w:ascii="宋体" w:hAnsi="宋体" w:eastAsia="宋体" w:cs="宋体"/>
                <w:szCs w:val="21"/>
                <w:highlight w:val="none"/>
                <w:u w:val="single"/>
              </w:rPr>
              <w:t>① 邮件方式报名获取招标文件事宜的投标人，按照招标公告提供的报名登记表加盖公章发送至代理机构的电子信箱(电子信箱：zytzb2019@126.com)；② 现场方式报名办理获取招标文件事宜的投标人须至代理机构进行书面登记。</w:t>
            </w:r>
          </w:p>
        </w:tc>
      </w:tr>
      <w:tr w14:paraId="0F46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EC425BE">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1984" w:type="dxa"/>
            <w:vAlign w:val="center"/>
          </w:tcPr>
          <w:p w14:paraId="595159F9">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现场考察/踏勘</w:t>
            </w:r>
          </w:p>
        </w:tc>
        <w:tc>
          <w:tcPr>
            <w:tcW w:w="6058" w:type="dxa"/>
            <w:gridSpan w:val="2"/>
            <w:vAlign w:val="center"/>
          </w:tcPr>
          <w:p w14:paraId="5C399608">
            <w:pPr>
              <w:tabs>
                <w:tab w:val="left" w:pos="0"/>
                <w:tab w:val="left" w:pos="420"/>
              </w:tabs>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不组织现场考察/踏勘</w:t>
            </w:r>
          </w:p>
        </w:tc>
      </w:tr>
      <w:tr w14:paraId="4346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2372F5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984" w:type="dxa"/>
            <w:vAlign w:val="center"/>
          </w:tcPr>
          <w:p w14:paraId="12A0120E">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样品</w:t>
            </w:r>
          </w:p>
        </w:tc>
        <w:tc>
          <w:tcPr>
            <w:tcW w:w="6058" w:type="dxa"/>
            <w:gridSpan w:val="2"/>
            <w:vAlign w:val="center"/>
          </w:tcPr>
          <w:p w14:paraId="1F6FA641">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不要求提供</w:t>
            </w:r>
          </w:p>
        </w:tc>
      </w:tr>
      <w:tr w14:paraId="049E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3508220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1984" w:type="dxa"/>
            <w:vMerge w:val="restart"/>
            <w:vAlign w:val="center"/>
          </w:tcPr>
          <w:p w14:paraId="47388E17">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投标文件组成</w:t>
            </w:r>
          </w:p>
        </w:tc>
        <w:tc>
          <w:tcPr>
            <w:tcW w:w="851" w:type="dxa"/>
            <w:vMerge w:val="restart"/>
            <w:vAlign w:val="center"/>
          </w:tcPr>
          <w:p w14:paraId="5952A9EA">
            <w:pPr>
              <w:topLinePunct/>
              <w:autoSpaceDE w:val="0"/>
              <w:autoSpaceDN w:val="0"/>
              <w:adjustRightInd w:val="0"/>
              <w:snapToGrid w:val="0"/>
              <w:spacing w:line="360" w:lineRule="auto"/>
              <w:jc w:val="center"/>
              <w:rPr>
                <w:rFonts w:hint="eastAsia" w:ascii="宋体" w:hAnsi="宋体" w:eastAsia="宋体" w:cs="宋体"/>
                <w:bCs/>
                <w:szCs w:val="21"/>
                <w:highlight w:val="none"/>
              </w:rPr>
            </w:pPr>
            <w:r>
              <w:rPr>
                <w:rFonts w:hint="eastAsia" w:ascii="宋体" w:hAnsi="宋体" w:eastAsia="宋体" w:cs="宋体"/>
                <w:szCs w:val="21"/>
                <w:highlight w:val="none"/>
              </w:rPr>
              <w:t>商务部</w:t>
            </w:r>
            <w:r>
              <w:rPr>
                <w:rFonts w:hint="eastAsia" w:ascii="宋体" w:hAnsi="宋体" w:eastAsia="宋体" w:cs="宋体"/>
                <w:bCs/>
                <w:szCs w:val="21"/>
                <w:highlight w:val="none"/>
              </w:rPr>
              <w:t>分</w:t>
            </w:r>
          </w:p>
        </w:tc>
        <w:tc>
          <w:tcPr>
            <w:tcW w:w="5207" w:type="dxa"/>
            <w:vAlign w:val="center"/>
          </w:tcPr>
          <w:p w14:paraId="406699EB">
            <w:pPr>
              <w:widowControl/>
              <w:tabs>
                <w:tab w:val="left" w:pos="0"/>
                <w:tab w:val="left" w:pos="420"/>
              </w:tabs>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b/>
                <w:szCs w:val="21"/>
                <w:highlight w:val="none"/>
              </w:rPr>
              <w:t>一、资格证明文件：</w:t>
            </w:r>
          </w:p>
          <w:p w14:paraId="1A67AC3F">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1.★法人或者其他组织的营业执照等证明文件，自然人的身份证明复印件；</w:t>
            </w:r>
          </w:p>
          <w:p w14:paraId="4924C658">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2.★财务状况报告：</w:t>
            </w:r>
            <w:r>
              <w:rPr>
                <w:rFonts w:hint="eastAsia" w:ascii="宋体" w:hAnsi="宋体" w:eastAsia="宋体" w:cs="宋体"/>
                <w:szCs w:val="21"/>
                <w:highlight w:val="none"/>
                <w:lang w:val="en-US" w:eastAsia="zh-CN"/>
              </w:rPr>
              <w:t>2023年度或</w:t>
            </w:r>
            <w:r>
              <w:rPr>
                <w:rFonts w:hint="eastAsia" w:ascii="宋体" w:hAnsi="宋体" w:eastAsia="宋体" w:cs="宋体"/>
                <w:szCs w:val="21"/>
                <w:highlight w:val="none"/>
              </w:rPr>
              <w:t>2024年度经会计师事务所审计的财务报告（须上传加盖会计师事务所公章及注册会计师签章的扫描件）；没有经审计的财务报告的，可以提供基本开户银行出具的资信证明复印件；</w:t>
            </w:r>
          </w:p>
          <w:p w14:paraId="2ABD6F25">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依法缴纳税收：提供投标截止时间前六个月（不含投标截止时间的当月）中任一月份的税收缴纳凭据复印件（截止时间当月成立的供应商，无法提供依法缴纳税收相关材料的，视为满足该条件）如依法免税或不需要纳税的，则应提供相应证明材料复印件；</w:t>
            </w:r>
          </w:p>
          <w:p w14:paraId="2DF42BDA">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4.★社会保障资金：提供投标截止时间前六个月（不含投标截止时间的当月）中任一月份的社会保障资金缴纳凭据复印件（截止时间当月成立的供应商，无法提供依法缴纳社会保障资金相关材料的，视为满足该条件），如依法不需要缴纳社会保障资金的，则应提供相应证明材料复印件；</w:t>
            </w:r>
          </w:p>
          <w:p w14:paraId="182968FD">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5.★具备履行合同所必需的设备和专业技术能力的书面声明；</w:t>
            </w:r>
          </w:p>
          <w:p w14:paraId="48055759">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6.★参加政府采购活动前3年内在经营活动中没有重大违法记录的书面声明；</w:t>
            </w:r>
          </w:p>
          <w:p w14:paraId="72C9899D">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7.★具备法律、行政法规规定的其他条件的证明材料；</w:t>
            </w:r>
          </w:p>
          <w:p w14:paraId="38BB6108">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8.★提供中小企业声明函（中小企业投标的，应按照《政府采购促进中小企业发展管理办法》（财库﹝2020﹞46 号印发）《关于印发中小企业划型标准规定的通知》 （工信部联企业〔2011〕300号）如实填写并提交此函）或</w:t>
            </w:r>
          </w:p>
          <w:p w14:paraId="7046B8A9">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监狱企业证明文件[监狱企业投标的，应提交省级以上监狱管理局、戒毒管理局（含新疆生产建设兵团）出具的证明文件]或残疾人福利性单位声明函（残疾人福利性单位投标的，应提交此函）；</w:t>
            </w:r>
          </w:p>
          <w:p w14:paraId="020482B1">
            <w:pPr>
              <w:widowControl/>
              <w:tabs>
                <w:tab w:val="left" w:pos="0"/>
                <w:tab w:val="left" w:pos="220"/>
              </w:tabs>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9.★</w:t>
            </w:r>
            <w:r>
              <w:rPr>
                <w:rFonts w:hint="eastAsia" w:ascii="宋体" w:hAnsi="宋体" w:eastAsia="宋体" w:cs="宋体"/>
                <w:szCs w:val="21"/>
                <w:highlight w:val="none"/>
                <w:u w:val="single"/>
              </w:rPr>
              <w:t>须具有《食品经营许可证》或《食品生产许可证》或《食品药品经营许可证》或《食品药品生产经营许可证》，提供证书复印件并加盖单位公章（因国家“多证合一”改革政策，各地证照整合未统一标准，本项目可能涉及其他的已融合“《食品经营许可证》或《食品生产许可证》或《食品药品经营许可证》或《食品药品生产经营许可证》”证照，投标人应按其所属省市实际情况提供相应证照复印件并加盖单位公章，并在投标文件中作出书面说明，证书均须在有效期内。</w:t>
            </w:r>
          </w:p>
        </w:tc>
      </w:tr>
      <w:tr w14:paraId="30F5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6E2E868A">
            <w:pPr>
              <w:adjustRightInd w:val="0"/>
              <w:snapToGrid w:val="0"/>
              <w:spacing w:line="360" w:lineRule="auto"/>
              <w:jc w:val="center"/>
              <w:rPr>
                <w:rFonts w:hint="eastAsia" w:ascii="宋体" w:hAnsi="宋体" w:eastAsia="宋体" w:cs="宋体"/>
                <w:b/>
                <w:szCs w:val="21"/>
                <w:highlight w:val="none"/>
              </w:rPr>
            </w:pPr>
          </w:p>
        </w:tc>
        <w:tc>
          <w:tcPr>
            <w:tcW w:w="1984" w:type="dxa"/>
            <w:vMerge w:val="continue"/>
            <w:vAlign w:val="center"/>
          </w:tcPr>
          <w:p w14:paraId="3F22A9DF">
            <w:pPr>
              <w:topLinePunct/>
              <w:autoSpaceDE w:val="0"/>
              <w:autoSpaceDN w:val="0"/>
              <w:adjustRightInd w:val="0"/>
              <w:snapToGrid w:val="0"/>
              <w:spacing w:line="360" w:lineRule="auto"/>
              <w:jc w:val="center"/>
              <w:rPr>
                <w:rFonts w:hint="eastAsia" w:ascii="宋体" w:hAnsi="宋体" w:eastAsia="宋体" w:cs="宋体"/>
                <w:b/>
                <w:szCs w:val="21"/>
                <w:highlight w:val="none"/>
              </w:rPr>
            </w:pPr>
          </w:p>
        </w:tc>
        <w:tc>
          <w:tcPr>
            <w:tcW w:w="851" w:type="dxa"/>
            <w:vMerge w:val="continue"/>
            <w:vAlign w:val="center"/>
          </w:tcPr>
          <w:p w14:paraId="1BB6FF8D">
            <w:pPr>
              <w:topLinePunct/>
              <w:autoSpaceDE w:val="0"/>
              <w:autoSpaceDN w:val="0"/>
              <w:adjustRightInd w:val="0"/>
              <w:snapToGrid w:val="0"/>
              <w:spacing w:line="360" w:lineRule="auto"/>
              <w:rPr>
                <w:rFonts w:hint="eastAsia" w:ascii="宋体" w:hAnsi="宋体" w:eastAsia="宋体" w:cs="宋体"/>
                <w:b/>
                <w:bCs/>
                <w:szCs w:val="21"/>
                <w:highlight w:val="none"/>
              </w:rPr>
            </w:pPr>
          </w:p>
        </w:tc>
        <w:tc>
          <w:tcPr>
            <w:tcW w:w="5207" w:type="dxa"/>
            <w:vAlign w:val="center"/>
          </w:tcPr>
          <w:p w14:paraId="25E56382">
            <w:pPr>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二、</w:t>
            </w:r>
            <w:r>
              <w:rPr>
                <w:rFonts w:hint="eastAsia" w:ascii="宋体" w:hAnsi="宋体" w:eastAsia="宋体" w:cs="宋体"/>
                <w:b/>
                <w:szCs w:val="21"/>
                <w:highlight w:val="none"/>
              </w:rPr>
              <w:t>开标一览表</w:t>
            </w:r>
            <w:r>
              <w:rPr>
                <w:rFonts w:hint="eastAsia" w:ascii="宋体" w:hAnsi="宋体" w:eastAsia="宋体" w:cs="宋体"/>
                <w:b/>
                <w:bCs/>
                <w:szCs w:val="21"/>
                <w:highlight w:val="none"/>
              </w:rPr>
              <w:t>：</w:t>
            </w:r>
          </w:p>
          <w:p w14:paraId="278EC3C6">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1.★投标报价表；</w:t>
            </w:r>
          </w:p>
        </w:tc>
      </w:tr>
      <w:tr w14:paraId="635C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6A3F19A8">
            <w:pPr>
              <w:adjustRightInd w:val="0"/>
              <w:snapToGrid w:val="0"/>
              <w:spacing w:line="360" w:lineRule="auto"/>
              <w:jc w:val="center"/>
              <w:rPr>
                <w:rFonts w:hint="eastAsia" w:ascii="宋体" w:hAnsi="宋体" w:eastAsia="宋体" w:cs="宋体"/>
                <w:b/>
                <w:szCs w:val="21"/>
                <w:highlight w:val="none"/>
              </w:rPr>
            </w:pPr>
          </w:p>
        </w:tc>
        <w:tc>
          <w:tcPr>
            <w:tcW w:w="1984" w:type="dxa"/>
            <w:vMerge w:val="continue"/>
            <w:vAlign w:val="center"/>
          </w:tcPr>
          <w:p w14:paraId="2D03FB37">
            <w:pPr>
              <w:topLinePunct/>
              <w:autoSpaceDE w:val="0"/>
              <w:autoSpaceDN w:val="0"/>
              <w:adjustRightInd w:val="0"/>
              <w:snapToGrid w:val="0"/>
              <w:spacing w:line="360" w:lineRule="auto"/>
              <w:jc w:val="center"/>
              <w:rPr>
                <w:rFonts w:hint="eastAsia" w:ascii="宋体" w:hAnsi="宋体" w:eastAsia="宋体" w:cs="宋体"/>
                <w:b/>
                <w:szCs w:val="21"/>
                <w:highlight w:val="none"/>
              </w:rPr>
            </w:pPr>
          </w:p>
        </w:tc>
        <w:tc>
          <w:tcPr>
            <w:tcW w:w="851" w:type="dxa"/>
            <w:vMerge w:val="continue"/>
            <w:vAlign w:val="center"/>
          </w:tcPr>
          <w:p w14:paraId="05170AB7">
            <w:pPr>
              <w:topLinePunct/>
              <w:autoSpaceDE w:val="0"/>
              <w:autoSpaceDN w:val="0"/>
              <w:adjustRightInd w:val="0"/>
              <w:snapToGrid w:val="0"/>
              <w:spacing w:line="360" w:lineRule="auto"/>
              <w:rPr>
                <w:rFonts w:hint="eastAsia" w:ascii="宋体" w:hAnsi="宋体" w:eastAsia="宋体" w:cs="宋体"/>
                <w:b/>
                <w:bCs/>
                <w:szCs w:val="21"/>
                <w:highlight w:val="none"/>
              </w:rPr>
            </w:pPr>
          </w:p>
        </w:tc>
        <w:tc>
          <w:tcPr>
            <w:tcW w:w="5207" w:type="dxa"/>
            <w:vAlign w:val="center"/>
          </w:tcPr>
          <w:p w14:paraId="1EF862E0">
            <w:pPr>
              <w:widowControl/>
              <w:shd w:val="clear" w:color="auto" w:fill="FFFFFF"/>
              <w:tabs>
                <w:tab w:val="left" w:pos="475"/>
                <w:tab w:val="left" w:pos="617"/>
              </w:tabs>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b/>
                <w:bCs/>
                <w:szCs w:val="21"/>
                <w:highlight w:val="none"/>
              </w:rPr>
              <w:t>三、其他文件及资料：</w:t>
            </w:r>
          </w:p>
          <w:p w14:paraId="3632BC8F">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1.★授权委托书（</w:t>
            </w:r>
            <w:r>
              <w:rPr>
                <w:rFonts w:hint="eastAsia" w:ascii="宋体" w:hAnsi="宋体" w:eastAsia="宋体" w:cs="宋体"/>
                <w:i/>
                <w:szCs w:val="21"/>
                <w:highlight w:val="none"/>
              </w:rPr>
              <w:t>参考投标文件格式1</w:t>
            </w:r>
            <w:r>
              <w:rPr>
                <w:rFonts w:hint="eastAsia" w:ascii="宋体" w:hAnsi="宋体" w:eastAsia="宋体" w:cs="宋体"/>
                <w:szCs w:val="21"/>
                <w:highlight w:val="none"/>
              </w:rPr>
              <w:t>）；</w:t>
            </w:r>
          </w:p>
          <w:p w14:paraId="3F6B3E30">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2.★投标函（</w:t>
            </w:r>
            <w:r>
              <w:rPr>
                <w:rFonts w:hint="eastAsia" w:ascii="宋体" w:hAnsi="宋体" w:eastAsia="宋体" w:cs="宋体"/>
                <w:i/>
                <w:szCs w:val="21"/>
                <w:highlight w:val="none"/>
              </w:rPr>
              <w:t>参考投标文件格式2</w:t>
            </w:r>
            <w:r>
              <w:rPr>
                <w:rFonts w:hint="eastAsia" w:ascii="宋体" w:hAnsi="宋体" w:eastAsia="宋体" w:cs="宋体"/>
                <w:szCs w:val="21"/>
                <w:highlight w:val="none"/>
              </w:rPr>
              <w:t>）；</w:t>
            </w:r>
          </w:p>
          <w:p w14:paraId="46870A27">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3.商务条款偏离表；</w:t>
            </w:r>
          </w:p>
          <w:p w14:paraId="6D2BC4FE">
            <w:pPr>
              <w:widowControl/>
              <w:tabs>
                <w:tab w:val="left" w:pos="0"/>
                <w:tab w:val="left" w:pos="220"/>
              </w:tabs>
              <w:adjustRightInd w:val="0"/>
              <w:snapToGrid w:val="0"/>
              <w:spacing w:line="360" w:lineRule="auto"/>
              <w:jc w:val="left"/>
              <w:rPr>
                <w:rFonts w:hint="eastAsia" w:ascii="宋体" w:hAnsi="宋体" w:eastAsia="宋体" w:cs="宋体"/>
                <w:bCs/>
                <w:szCs w:val="21"/>
                <w:highlight w:val="none"/>
              </w:rPr>
            </w:pPr>
            <w:r>
              <w:rPr>
                <w:rFonts w:hint="eastAsia" w:ascii="宋体" w:hAnsi="宋体" w:eastAsia="宋体" w:cs="宋体"/>
                <w:szCs w:val="21"/>
                <w:highlight w:val="none"/>
              </w:rPr>
              <w:t>4.投标人认为需要提供的其它说明和资料。</w:t>
            </w:r>
          </w:p>
        </w:tc>
      </w:tr>
      <w:tr w14:paraId="6DB9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17A84511">
            <w:pPr>
              <w:adjustRightInd w:val="0"/>
              <w:snapToGrid w:val="0"/>
              <w:spacing w:line="360" w:lineRule="auto"/>
              <w:jc w:val="center"/>
              <w:rPr>
                <w:rFonts w:hint="eastAsia" w:ascii="宋体" w:hAnsi="宋体" w:eastAsia="宋体" w:cs="宋体"/>
                <w:szCs w:val="21"/>
                <w:highlight w:val="none"/>
              </w:rPr>
            </w:pPr>
          </w:p>
        </w:tc>
        <w:tc>
          <w:tcPr>
            <w:tcW w:w="1984" w:type="dxa"/>
            <w:vMerge w:val="continue"/>
            <w:vAlign w:val="center"/>
          </w:tcPr>
          <w:p w14:paraId="3D250981">
            <w:pPr>
              <w:topLinePunct/>
              <w:autoSpaceDE w:val="0"/>
              <w:autoSpaceDN w:val="0"/>
              <w:adjustRightInd w:val="0"/>
              <w:snapToGrid w:val="0"/>
              <w:spacing w:line="360" w:lineRule="auto"/>
              <w:jc w:val="center"/>
              <w:rPr>
                <w:rFonts w:hint="eastAsia" w:ascii="宋体" w:hAnsi="宋体" w:eastAsia="宋体" w:cs="宋体"/>
                <w:szCs w:val="21"/>
                <w:highlight w:val="none"/>
              </w:rPr>
            </w:pPr>
          </w:p>
        </w:tc>
        <w:tc>
          <w:tcPr>
            <w:tcW w:w="851" w:type="dxa"/>
            <w:vAlign w:val="center"/>
          </w:tcPr>
          <w:p w14:paraId="3790481B">
            <w:pPr>
              <w:topLinePunct/>
              <w:autoSpaceDE w:val="0"/>
              <w:autoSpaceDN w:val="0"/>
              <w:adjustRightInd w:val="0"/>
              <w:snapToGrid w:val="0"/>
              <w:spacing w:line="360" w:lineRule="auto"/>
              <w:jc w:val="center"/>
              <w:rPr>
                <w:rFonts w:hint="eastAsia" w:ascii="宋体" w:hAnsi="宋体" w:eastAsia="宋体" w:cs="宋体"/>
                <w:bCs/>
                <w:szCs w:val="21"/>
                <w:highlight w:val="none"/>
              </w:rPr>
            </w:pPr>
            <w:r>
              <w:rPr>
                <w:rFonts w:hint="eastAsia" w:ascii="宋体" w:hAnsi="宋体" w:eastAsia="宋体" w:cs="宋体"/>
                <w:szCs w:val="21"/>
                <w:highlight w:val="none"/>
              </w:rPr>
              <w:t>技术部分</w:t>
            </w:r>
          </w:p>
        </w:tc>
        <w:tc>
          <w:tcPr>
            <w:tcW w:w="5207" w:type="dxa"/>
            <w:vAlign w:val="center"/>
          </w:tcPr>
          <w:p w14:paraId="5B469722">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1.技术条款偏离表；</w:t>
            </w:r>
          </w:p>
          <w:p w14:paraId="1231D24D">
            <w:pPr>
              <w:adjustRightInd w:val="0"/>
              <w:snapToGrid w:val="0"/>
              <w:spacing w:line="360" w:lineRule="auto"/>
              <w:jc w:val="left"/>
              <w:rPr>
                <w:rFonts w:hint="eastAsia" w:ascii="宋体" w:hAnsi="宋体" w:eastAsia="宋体" w:cs="宋体"/>
                <w:bCs/>
                <w:szCs w:val="21"/>
                <w:highlight w:val="none"/>
              </w:rPr>
            </w:pPr>
            <w:r>
              <w:rPr>
                <w:rFonts w:hint="eastAsia" w:ascii="宋体" w:hAnsi="宋体" w:eastAsia="宋体" w:cs="宋体"/>
                <w:szCs w:val="21"/>
                <w:highlight w:val="none"/>
              </w:rPr>
              <w:t>2.</w:t>
            </w:r>
            <w:r>
              <w:rPr>
                <w:rFonts w:hint="eastAsia" w:ascii="宋体" w:hAnsi="宋体" w:eastAsia="宋体" w:cs="宋体"/>
                <w:kern w:val="0"/>
                <w:szCs w:val="21"/>
                <w:highlight w:val="none"/>
              </w:rPr>
              <w:t>服务方案</w:t>
            </w:r>
            <w:r>
              <w:rPr>
                <w:rFonts w:hint="eastAsia" w:ascii="宋体" w:hAnsi="宋体" w:eastAsia="宋体" w:cs="宋体"/>
                <w:szCs w:val="21"/>
                <w:highlight w:val="none"/>
              </w:rPr>
              <w:t>；</w:t>
            </w:r>
          </w:p>
          <w:p w14:paraId="42E296E9">
            <w:pPr>
              <w:widowControl/>
              <w:tabs>
                <w:tab w:val="left" w:pos="0"/>
                <w:tab w:val="left" w:pos="220"/>
              </w:tabs>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3.投标人认为需要提供的其它说明和资料。</w:t>
            </w:r>
          </w:p>
        </w:tc>
      </w:tr>
      <w:tr w14:paraId="7F6F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1F06DA73">
            <w:pPr>
              <w:adjustRightInd w:val="0"/>
              <w:snapToGrid w:val="0"/>
              <w:spacing w:line="360" w:lineRule="auto"/>
              <w:jc w:val="center"/>
              <w:rPr>
                <w:rFonts w:hint="eastAsia" w:ascii="宋体" w:hAnsi="宋体" w:eastAsia="宋体" w:cs="宋体"/>
                <w:b/>
                <w:szCs w:val="21"/>
                <w:highlight w:val="none"/>
              </w:rPr>
            </w:pPr>
          </w:p>
        </w:tc>
        <w:tc>
          <w:tcPr>
            <w:tcW w:w="1984" w:type="dxa"/>
            <w:vMerge w:val="continue"/>
            <w:vAlign w:val="center"/>
          </w:tcPr>
          <w:p w14:paraId="7BFB0D03">
            <w:pPr>
              <w:topLinePunct/>
              <w:autoSpaceDE w:val="0"/>
              <w:autoSpaceDN w:val="0"/>
              <w:adjustRightInd w:val="0"/>
              <w:snapToGrid w:val="0"/>
              <w:spacing w:line="360" w:lineRule="auto"/>
              <w:jc w:val="center"/>
              <w:rPr>
                <w:rFonts w:hint="eastAsia" w:ascii="宋体" w:hAnsi="宋体" w:eastAsia="宋体" w:cs="宋体"/>
                <w:b/>
                <w:szCs w:val="21"/>
                <w:highlight w:val="none"/>
              </w:rPr>
            </w:pPr>
          </w:p>
        </w:tc>
        <w:tc>
          <w:tcPr>
            <w:tcW w:w="6058" w:type="dxa"/>
            <w:gridSpan w:val="2"/>
            <w:vAlign w:val="center"/>
          </w:tcPr>
          <w:p w14:paraId="1D8BF948">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1.以上带★的文件及资料未提供或提供的无效，则投标无效。</w:t>
            </w:r>
          </w:p>
        </w:tc>
      </w:tr>
      <w:tr w14:paraId="640B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7E2931F">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1984" w:type="dxa"/>
            <w:vAlign w:val="center"/>
          </w:tcPr>
          <w:p w14:paraId="51AC2B5F">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6058" w:type="dxa"/>
            <w:gridSpan w:val="2"/>
            <w:vAlign w:val="center"/>
          </w:tcPr>
          <w:p w14:paraId="7F0BA734">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从提交投标文件的截止之日起计算</w:t>
            </w:r>
            <w:r>
              <w:rPr>
                <w:rFonts w:hint="eastAsia" w:ascii="宋体" w:hAnsi="宋体" w:eastAsia="宋体" w:cs="宋体"/>
                <w:szCs w:val="21"/>
                <w:highlight w:val="none"/>
                <w:u w:val="single"/>
              </w:rPr>
              <w:t xml:space="preserve">  90  </w:t>
            </w:r>
            <w:r>
              <w:rPr>
                <w:rFonts w:hint="eastAsia" w:ascii="宋体" w:hAnsi="宋体" w:eastAsia="宋体" w:cs="宋体"/>
                <w:szCs w:val="21"/>
                <w:highlight w:val="none"/>
              </w:rPr>
              <w:t>日历日。</w:t>
            </w:r>
          </w:p>
        </w:tc>
      </w:tr>
      <w:tr w14:paraId="2E44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05D2D658">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1984" w:type="dxa"/>
            <w:vAlign w:val="center"/>
          </w:tcPr>
          <w:p w14:paraId="2A686239">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提交投标文件方式、截止时间、开标时间、地点</w:t>
            </w:r>
          </w:p>
        </w:tc>
        <w:tc>
          <w:tcPr>
            <w:tcW w:w="6058" w:type="dxa"/>
            <w:gridSpan w:val="2"/>
            <w:vAlign w:val="center"/>
          </w:tcPr>
          <w:p w14:paraId="488F2F88">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提交方式：</w:t>
            </w:r>
            <w:r>
              <w:rPr>
                <w:rFonts w:hint="eastAsia" w:ascii="宋体" w:hAnsi="宋体" w:eastAsia="宋体" w:cs="宋体"/>
                <w:szCs w:val="21"/>
                <w:highlight w:val="none"/>
                <w:u w:val="single"/>
              </w:rPr>
              <w:t>纸质文件提交</w:t>
            </w:r>
          </w:p>
          <w:p w14:paraId="02ED9F59">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投标截止时间和开标时间</w:t>
            </w:r>
            <w:r>
              <w:rPr>
                <w:rFonts w:hint="eastAsia" w:ascii="宋体" w:hAnsi="宋体" w:eastAsia="宋体" w:cs="宋体"/>
                <w:b/>
                <w:szCs w:val="21"/>
                <w:highlight w:val="none"/>
              </w:rPr>
              <w:t>：</w:t>
            </w:r>
            <w:r>
              <w:rPr>
                <w:rFonts w:hint="eastAsia" w:ascii="宋体" w:hAnsi="宋体" w:eastAsia="宋体" w:cs="宋体"/>
                <w:b/>
                <w:szCs w:val="21"/>
                <w:highlight w:val="none"/>
                <w:u w:val="single"/>
              </w:rPr>
              <w:t>2025年</w:t>
            </w:r>
            <w:r>
              <w:rPr>
                <w:rFonts w:hint="eastAsia" w:ascii="宋体" w:hAnsi="宋体" w:eastAsia="宋体" w:cs="宋体"/>
                <w:b/>
                <w:szCs w:val="21"/>
                <w:highlight w:val="none"/>
                <w:u w:val="single"/>
                <w:lang w:val="en-US" w:eastAsia="zh-CN"/>
              </w:rPr>
              <w:t>6</w:t>
            </w:r>
            <w:r>
              <w:rPr>
                <w:rFonts w:hint="eastAsia" w:ascii="宋体" w:hAnsi="宋体" w:eastAsia="宋体" w:cs="宋体"/>
                <w:b/>
                <w:szCs w:val="21"/>
                <w:highlight w:val="none"/>
                <w:u w:val="single"/>
              </w:rPr>
              <w:t>月</w:t>
            </w:r>
            <w:r>
              <w:rPr>
                <w:rFonts w:hint="eastAsia" w:ascii="宋体" w:hAnsi="宋体" w:eastAsia="宋体" w:cs="宋体"/>
                <w:b/>
                <w:szCs w:val="21"/>
                <w:highlight w:val="none"/>
                <w:u w:val="single"/>
                <w:lang w:val="en-US" w:eastAsia="zh-CN"/>
              </w:rPr>
              <w:t>19</w:t>
            </w:r>
            <w:r>
              <w:rPr>
                <w:rFonts w:hint="eastAsia" w:ascii="宋体" w:hAnsi="宋体" w:eastAsia="宋体" w:cs="宋体"/>
                <w:b/>
                <w:szCs w:val="21"/>
                <w:highlight w:val="none"/>
                <w:u w:val="single"/>
              </w:rPr>
              <w:t>日09点30分</w:t>
            </w:r>
            <w:r>
              <w:rPr>
                <w:rFonts w:hint="eastAsia" w:ascii="宋体" w:hAnsi="宋体" w:eastAsia="宋体" w:cs="宋体"/>
                <w:szCs w:val="21"/>
                <w:highlight w:val="none"/>
              </w:rPr>
              <w:t>（北京时间）</w:t>
            </w:r>
          </w:p>
          <w:p w14:paraId="12E7646E">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开标方式：</w:t>
            </w:r>
            <w:r>
              <w:rPr>
                <w:rFonts w:hint="eastAsia" w:ascii="宋体" w:hAnsi="宋体" w:eastAsia="宋体" w:cs="宋体"/>
                <w:szCs w:val="21"/>
                <w:highlight w:val="none"/>
                <w:u w:val="single"/>
              </w:rPr>
              <w:t>线下开标</w:t>
            </w:r>
          </w:p>
          <w:p w14:paraId="1E29E39C">
            <w:pPr>
              <w:topLinePunct/>
              <w:autoSpaceDE w:val="0"/>
              <w:autoSpaceDN w:val="0"/>
              <w:adjustRightInd w:val="0"/>
              <w:snapToGrid w:val="0"/>
              <w:spacing w:line="360" w:lineRule="auto"/>
              <w:rPr>
                <w:rFonts w:hint="eastAsia" w:ascii="宋体" w:hAnsi="宋体" w:eastAsia="宋体" w:cs="宋体"/>
                <w:b/>
                <w:szCs w:val="21"/>
                <w:highlight w:val="none"/>
                <w:u w:val="single"/>
              </w:rPr>
            </w:pPr>
            <w:r>
              <w:rPr>
                <w:rFonts w:hint="eastAsia" w:ascii="宋体" w:hAnsi="宋体" w:eastAsia="宋体" w:cs="宋体"/>
                <w:b/>
                <w:szCs w:val="21"/>
                <w:highlight w:val="none"/>
              </w:rPr>
              <w:t>提交投标文件地点：</w:t>
            </w:r>
            <w:r>
              <w:rPr>
                <w:rFonts w:hint="eastAsia" w:ascii="宋体" w:hAnsi="宋体" w:eastAsia="宋体" w:cs="宋体"/>
                <w:szCs w:val="21"/>
                <w:highlight w:val="none"/>
                <w:u w:val="single"/>
              </w:rPr>
              <w:t>福建省南平市建阳区黄花山路33-2号1楼</w:t>
            </w:r>
            <w:r>
              <w:rPr>
                <w:rFonts w:hint="eastAsia" w:ascii="宋体" w:hAnsi="宋体" w:eastAsia="宋体" w:cs="宋体"/>
                <w:highlight w:val="none"/>
                <w:u w:val="single"/>
                <w:shd w:val="clear" w:color="auto" w:fill="FFFFFF"/>
              </w:rPr>
              <w:t>；</w:t>
            </w:r>
          </w:p>
          <w:p w14:paraId="099CF8EC">
            <w:pPr>
              <w:topLinePunct/>
              <w:autoSpaceDE w:val="0"/>
              <w:autoSpaceDN w:val="0"/>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u w:val="single"/>
              </w:rPr>
              <w:t>开标地点：</w:t>
            </w:r>
            <w:r>
              <w:rPr>
                <w:rFonts w:hint="eastAsia" w:ascii="宋体" w:hAnsi="宋体" w:eastAsia="宋体" w:cs="宋体"/>
                <w:szCs w:val="21"/>
                <w:highlight w:val="none"/>
                <w:u w:val="single"/>
              </w:rPr>
              <w:t>福建省南平市建阳区黄花山路33-2号1楼</w:t>
            </w:r>
            <w:r>
              <w:rPr>
                <w:rFonts w:hint="eastAsia" w:ascii="宋体" w:hAnsi="宋体" w:eastAsia="宋体" w:cs="宋体"/>
                <w:highlight w:val="none"/>
                <w:u w:val="single"/>
                <w:shd w:val="clear" w:color="auto" w:fill="FFFFFF"/>
              </w:rPr>
              <w:t>；</w:t>
            </w:r>
          </w:p>
          <w:p w14:paraId="50319209">
            <w:pPr>
              <w:topLinePunct/>
              <w:autoSpaceDE w:val="0"/>
              <w:autoSpaceDN w:val="0"/>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联系电话：</w:t>
            </w:r>
            <w:r>
              <w:rPr>
                <w:rFonts w:hint="eastAsia" w:ascii="宋体" w:hAnsi="宋体" w:eastAsia="宋体" w:cs="宋体"/>
                <w:b/>
                <w:szCs w:val="21"/>
                <w:highlight w:val="none"/>
                <w:u w:val="single"/>
              </w:rPr>
              <w:t xml:space="preserve"> </w:t>
            </w:r>
            <w:r>
              <w:rPr>
                <w:rFonts w:hint="eastAsia" w:ascii="宋体" w:hAnsi="宋体" w:eastAsia="宋体" w:cs="宋体"/>
                <w:bCs/>
                <w:szCs w:val="21"/>
                <w:highlight w:val="none"/>
                <w:u w:val="single"/>
              </w:rPr>
              <w:t>0591-87527653 。</w:t>
            </w:r>
          </w:p>
        </w:tc>
      </w:tr>
      <w:tr w14:paraId="6634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8BFC3E6">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1984" w:type="dxa"/>
            <w:vAlign w:val="center"/>
          </w:tcPr>
          <w:p w14:paraId="087DB81A">
            <w:pPr>
              <w:tabs>
                <w:tab w:val="left" w:pos="1875"/>
              </w:tabs>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投标保证金</w:t>
            </w:r>
          </w:p>
        </w:tc>
        <w:tc>
          <w:tcPr>
            <w:tcW w:w="6058" w:type="dxa"/>
            <w:gridSpan w:val="2"/>
            <w:vAlign w:val="center"/>
          </w:tcPr>
          <w:p w14:paraId="63B247C0">
            <w:pPr>
              <w:topLinePunct/>
              <w:autoSpaceDE w:val="0"/>
              <w:autoSpaceDN w:val="0"/>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不要求提供</w:t>
            </w:r>
          </w:p>
        </w:tc>
      </w:tr>
      <w:tr w14:paraId="622B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09754EF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20</w:t>
            </w:r>
          </w:p>
        </w:tc>
        <w:tc>
          <w:tcPr>
            <w:tcW w:w="1984" w:type="dxa"/>
            <w:vMerge w:val="restart"/>
            <w:vAlign w:val="center"/>
          </w:tcPr>
          <w:p w14:paraId="0AF5EECA">
            <w:pPr>
              <w:tabs>
                <w:tab w:val="left" w:pos="1875"/>
              </w:tabs>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不予退还投标保证金的情形</w:t>
            </w:r>
          </w:p>
        </w:tc>
        <w:tc>
          <w:tcPr>
            <w:tcW w:w="6058" w:type="dxa"/>
            <w:gridSpan w:val="2"/>
            <w:vAlign w:val="center"/>
          </w:tcPr>
          <w:p w14:paraId="6D135E53">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有下列情形之一的，投标保证金将不予退还：</w:t>
            </w:r>
          </w:p>
          <w:p w14:paraId="7D545ECB">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（1）投标人串通投标或有视为串通投标情形之一的；</w:t>
            </w:r>
          </w:p>
          <w:p w14:paraId="33C53544">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（2）投标人提供虚假材料；</w:t>
            </w:r>
          </w:p>
          <w:p w14:paraId="03318C6D">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（3）投标人采取不正当手段诋毁、排挤其他投标人；</w:t>
            </w:r>
          </w:p>
          <w:p w14:paraId="0DC2660A">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（4）投标截止时间后，投标人在投标有效期内撤销投标文件；</w:t>
            </w:r>
          </w:p>
          <w:p w14:paraId="6CF4C614">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（5）中标人有下列情形之一的：</w:t>
            </w:r>
          </w:p>
          <w:p w14:paraId="2B9389DD">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a.除不可抗力外，因中标人自身原因未在中标通知书要求的期限内与采购人签订政府采购合同；</w:t>
            </w:r>
          </w:p>
          <w:p w14:paraId="6CAA8DA8">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b.未按照招标文件、投标文件的约定签订政府采购合同或提交履约保证金。</w:t>
            </w:r>
          </w:p>
          <w:p w14:paraId="4588AC96">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注：若上述投标保证金不予退还情形给采购人（采购代理机构）造成损失，则投标人还要承担相应的赔偿责任。</w:t>
            </w:r>
          </w:p>
        </w:tc>
      </w:tr>
      <w:tr w14:paraId="560C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2267A086">
            <w:pPr>
              <w:adjustRightInd w:val="0"/>
              <w:snapToGrid w:val="0"/>
              <w:spacing w:line="360" w:lineRule="auto"/>
              <w:jc w:val="center"/>
              <w:rPr>
                <w:rFonts w:hint="eastAsia" w:ascii="宋体" w:hAnsi="宋体" w:eastAsia="宋体" w:cs="宋体"/>
                <w:szCs w:val="21"/>
                <w:highlight w:val="none"/>
              </w:rPr>
            </w:pPr>
          </w:p>
        </w:tc>
        <w:tc>
          <w:tcPr>
            <w:tcW w:w="1984" w:type="dxa"/>
            <w:vMerge w:val="continue"/>
            <w:vAlign w:val="center"/>
          </w:tcPr>
          <w:p w14:paraId="21A74961">
            <w:pPr>
              <w:adjustRightInd w:val="0"/>
              <w:snapToGrid w:val="0"/>
              <w:spacing w:line="360" w:lineRule="auto"/>
              <w:jc w:val="center"/>
              <w:rPr>
                <w:rFonts w:hint="eastAsia" w:ascii="宋体" w:hAnsi="宋体" w:eastAsia="宋体" w:cs="宋体"/>
                <w:szCs w:val="21"/>
                <w:highlight w:val="none"/>
              </w:rPr>
            </w:pPr>
          </w:p>
        </w:tc>
        <w:tc>
          <w:tcPr>
            <w:tcW w:w="6058" w:type="dxa"/>
            <w:gridSpan w:val="2"/>
            <w:vAlign w:val="center"/>
          </w:tcPr>
          <w:p w14:paraId="1CEA4391">
            <w:pPr>
              <w:topLinePunct/>
              <w:autoSpaceDE w:val="0"/>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其他不予退还投标保证金的情形：</w:t>
            </w:r>
            <w:r>
              <w:rPr>
                <w:rFonts w:hint="eastAsia" w:ascii="宋体" w:hAnsi="宋体" w:eastAsia="宋体" w:cs="宋体"/>
                <w:szCs w:val="21"/>
                <w:highlight w:val="none"/>
                <w:u w:val="single"/>
              </w:rPr>
              <w:t>无</w:t>
            </w:r>
          </w:p>
        </w:tc>
      </w:tr>
      <w:tr w14:paraId="67F6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8087785">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w:t>
            </w:r>
          </w:p>
        </w:tc>
        <w:tc>
          <w:tcPr>
            <w:tcW w:w="1984" w:type="dxa"/>
            <w:vAlign w:val="center"/>
          </w:tcPr>
          <w:p w14:paraId="73C79BD6">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信用记录审查</w:t>
            </w:r>
          </w:p>
        </w:tc>
        <w:tc>
          <w:tcPr>
            <w:tcW w:w="6058" w:type="dxa"/>
            <w:gridSpan w:val="2"/>
            <w:vAlign w:val="center"/>
          </w:tcPr>
          <w:p w14:paraId="378FA55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根据《财政部关于在政府采购活动中查询及使用信用记录有关问题的通知》（财库〔2016〕125号）规定，开标结束后，采购人、采购代理机构将通过“信用中国”网站（www.creditchina.gov.cn）、中国政府采购网（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eastAsia="宋体" w:cs="宋体"/>
                <w:szCs w:val="21"/>
                <w:highlight w:val="none"/>
              </w:rPr>
              <w:t>www.ccgp.gov.cn</w:t>
            </w:r>
            <w:r>
              <w:rPr>
                <w:rFonts w:hint="eastAsia" w:ascii="宋体" w:hAnsi="宋体" w:eastAsia="宋体" w:cs="宋体"/>
                <w:szCs w:val="21"/>
                <w:highlight w:val="none"/>
              </w:rPr>
              <w:fldChar w:fldCharType="end"/>
            </w:r>
            <w:r>
              <w:rPr>
                <w:rFonts w:hint="eastAsia" w:ascii="宋体" w:hAnsi="宋体" w:eastAsia="宋体" w:cs="宋体"/>
                <w:szCs w:val="21"/>
                <w:highlight w:val="none"/>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14:paraId="50D641DC">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本次查询的信用记录仅限于本项目使用，查询结果将留存在采购档案中。</w:t>
            </w:r>
          </w:p>
          <w:p w14:paraId="770AAA3C">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在上述指定网站不能查询信用信息的投标人，应提供相关证明材料（原件加盖公章）。</w:t>
            </w:r>
          </w:p>
        </w:tc>
      </w:tr>
      <w:tr w14:paraId="59EF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AF1A05B">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22</w:t>
            </w:r>
          </w:p>
        </w:tc>
        <w:tc>
          <w:tcPr>
            <w:tcW w:w="1984" w:type="dxa"/>
            <w:vAlign w:val="center"/>
          </w:tcPr>
          <w:p w14:paraId="2D111F56">
            <w:pPr>
              <w:topLinePunct/>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支持中小型</w:t>
            </w:r>
          </w:p>
          <w:p w14:paraId="09073C5B">
            <w:pPr>
              <w:topLinePunct/>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企业发展</w:t>
            </w:r>
          </w:p>
        </w:tc>
        <w:tc>
          <w:tcPr>
            <w:tcW w:w="6058" w:type="dxa"/>
            <w:gridSpan w:val="2"/>
            <w:vAlign w:val="center"/>
          </w:tcPr>
          <w:p w14:paraId="36F235ED">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根据《政府采购促进中小型企业发展管理办法》（财库〔2020〕46号），鼓励中小企业参加本项目采购活动。</w:t>
            </w:r>
          </w:p>
          <w:p w14:paraId="772649AF">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在货物采购项目中，满足所有标的均由中小企业制造，即所有标的均由中小企业生产且使用该中小企业商号或者注册商标的，可享受中小企业扶持政策。</w:t>
            </w:r>
          </w:p>
          <w:p w14:paraId="3180590E">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在服务采购项目中，满足服务由中小企业承接，即提供服务的人员为中小企业依照《中华人民共和国劳动合同法》订立劳动合同的从业人员的，可享受中小企业扶持政策。</w:t>
            </w:r>
          </w:p>
          <w:p w14:paraId="2EFDC943">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本项目：</w:t>
            </w:r>
          </w:p>
          <w:p w14:paraId="530DAE70">
            <w:pPr>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☑专门面向中小企业采购项目。</w:t>
            </w:r>
          </w:p>
          <w:p w14:paraId="08FE877A">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□预留份额面向中小企业采购项目（说明：/）。</w:t>
            </w:r>
          </w:p>
          <w:p w14:paraId="20EDE67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00A3"/>
            </w:r>
            <w:r>
              <w:rPr>
                <w:rFonts w:hint="eastAsia" w:ascii="宋体" w:hAnsi="宋体" w:eastAsia="宋体" w:cs="宋体"/>
                <w:szCs w:val="21"/>
                <w:highlight w:val="none"/>
              </w:rPr>
              <w:t>非专门面向中小企业采购项目。对小型和微型企业的投标价格给予20%的扣除，用扣除后的价格参与评审。</w:t>
            </w:r>
          </w:p>
        </w:tc>
      </w:tr>
      <w:tr w14:paraId="387F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47E1343">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1984" w:type="dxa"/>
            <w:vAlign w:val="center"/>
          </w:tcPr>
          <w:p w14:paraId="6EF5B2A9">
            <w:pPr>
              <w:topLinePunct/>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支持监狱企业发展</w:t>
            </w:r>
          </w:p>
        </w:tc>
        <w:tc>
          <w:tcPr>
            <w:tcW w:w="6058" w:type="dxa"/>
            <w:gridSpan w:val="2"/>
            <w:vAlign w:val="center"/>
          </w:tcPr>
          <w:p w14:paraId="0CBF057A">
            <w:pPr>
              <w:adjustRightInd w:val="0"/>
              <w:snapToGrid w:val="0"/>
              <w:spacing w:line="360" w:lineRule="auto"/>
              <w:jc w:val="left"/>
              <w:rPr>
                <w:rFonts w:hint="eastAsia" w:ascii="宋体" w:hAnsi="宋体" w:eastAsia="宋体" w:cs="宋体"/>
                <w:b/>
                <w:szCs w:val="21"/>
                <w:highlight w:val="none"/>
              </w:rPr>
            </w:pPr>
            <w:r>
              <w:rPr>
                <w:rFonts w:hint="eastAsia" w:ascii="宋体" w:hAnsi="宋体" w:eastAsia="宋体" w:cs="宋体"/>
                <w:szCs w:val="21"/>
                <w:highlight w:val="none"/>
              </w:rPr>
              <w:t>根据《关于政府采购支持监狱企业发展有关问题的通知》（财库〔2014〕68号），监狱企业视同小型、微型企业，</w:t>
            </w:r>
            <w:r>
              <w:rPr>
                <w:rFonts w:ascii="宋体" w:hAnsi="宋体" w:eastAsia="宋体" w:cs="宋体"/>
                <w:szCs w:val="21"/>
                <w:highlight w:val="none"/>
              </w:rPr>
              <w:t>按照</w:t>
            </w:r>
            <w:r>
              <w:rPr>
                <w:rFonts w:hint="eastAsia" w:ascii="宋体" w:hAnsi="宋体" w:eastAsia="宋体" w:cs="宋体"/>
                <w:szCs w:val="21"/>
                <w:highlight w:val="none"/>
              </w:rPr>
              <w:t>投标人须知前附表第22项</w:t>
            </w:r>
            <w:r>
              <w:rPr>
                <w:rFonts w:ascii="宋体" w:hAnsi="宋体" w:eastAsia="宋体" w:cs="宋体"/>
                <w:szCs w:val="21"/>
                <w:highlight w:val="none"/>
              </w:rPr>
              <w:t>享受价格扣除政策</w:t>
            </w:r>
            <w:r>
              <w:rPr>
                <w:rFonts w:hint="eastAsia" w:ascii="宋体" w:hAnsi="宋体" w:eastAsia="宋体" w:cs="宋体"/>
                <w:szCs w:val="21"/>
                <w:highlight w:val="none"/>
              </w:rPr>
              <w:t>。</w:t>
            </w:r>
          </w:p>
        </w:tc>
      </w:tr>
      <w:tr w14:paraId="4502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F9D7C7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1984" w:type="dxa"/>
            <w:vAlign w:val="center"/>
          </w:tcPr>
          <w:p w14:paraId="30B0A82C">
            <w:pPr>
              <w:topLinePunct/>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促进残疾人</w:t>
            </w:r>
          </w:p>
          <w:p w14:paraId="3FD034D4">
            <w:pPr>
              <w:topLinePunct/>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就业</w:t>
            </w:r>
          </w:p>
        </w:tc>
        <w:tc>
          <w:tcPr>
            <w:tcW w:w="6058" w:type="dxa"/>
            <w:gridSpan w:val="2"/>
            <w:vAlign w:val="center"/>
          </w:tcPr>
          <w:p w14:paraId="3A0CBEEC">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根据《关于促进残疾人就业政府采购政策的通知》（财库〔2017〕141号），残疾人福利性单位视同小型、微型企业，按照投标人须知前附表第22项享受价格扣除政策。</w:t>
            </w:r>
          </w:p>
        </w:tc>
      </w:tr>
      <w:tr w14:paraId="27E45838">
        <w:tblPrEx>
          <w:tblCellMar>
            <w:top w:w="0" w:type="dxa"/>
            <w:left w:w="108" w:type="dxa"/>
            <w:bottom w:w="0" w:type="dxa"/>
            <w:right w:w="108" w:type="dxa"/>
          </w:tblCellMar>
        </w:tblPrEx>
        <w:trPr>
          <w:jc w:val="center"/>
        </w:trPr>
        <w:tc>
          <w:tcPr>
            <w:tcW w:w="935" w:type="dxa"/>
            <w:vMerge w:val="restart"/>
            <w:vAlign w:val="center"/>
          </w:tcPr>
          <w:p w14:paraId="590976B7">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1984" w:type="dxa"/>
            <w:vMerge w:val="restart"/>
            <w:vAlign w:val="center"/>
          </w:tcPr>
          <w:p w14:paraId="5004402B">
            <w:pPr>
              <w:topLinePunct/>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其他法律法规强制性规定或扶持政策</w:t>
            </w:r>
          </w:p>
        </w:tc>
        <w:tc>
          <w:tcPr>
            <w:tcW w:w="6058" w:type="dxa"/>
            <w:gridSpan w:val="2"/>
            <w:vAlign w:val="center"/>
          </w:tcPr>
          <w:p w14:paraId="387BD3F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本项目中强制采购节能产品的货物名称：</w:t>
            </w:r>
          </w:p>
          <w:p w14:paraId="7F53297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采购包1：</w:t>
            </w:r>
            <w:r>
              <w:rPr>
                <w:rFonts w:hint="eastAsia" w:ascii="宋体" w:hAnsi="宋体" w:eastAsia="宋体" w:cs="宋体"/>
                <w:szCs w:val="21"/>
                <w:highlight w:val="none"/>
                <w:u w:val="single"/>
              </w:rPr>
              <w:t xml:space="preserve">本项目不适用 </w:t>
            </w:r>
            <w:r>
              <w:rPr>
                <w:rFonts w:hint="eastAsia" w:ascii="宋体" w:hAnsi="宋体" w:eastAsia="宋体" w:cs="宋体"/>
                <w:szCs w:val="21"/>
                <w:highlight w:val="none"/>
              </w:rPr>
              <w:t>。</w:t>
            </w:r>
          </w:p>
          <w:p w14:paraId="45DF268C">
            <w:pPr>
              <w:topLinePunct/>
              <w:autoSpaceDE w:val="0"/>
              <w:autoSpaceDN w:val="0"/>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注：投标人所投上述产品必须具有节能产品认证证书，并提供依据国家确定的认证机构出具的、处于有效期之内的节能产品认证证书复印件，否则投标无效。</w:t>
            </w:r>
          </w:p>
        </w:tc>
      </w:tr>
      <w:tr w14:paraId="4C00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6CAD18A6">
            <w:pPr>
              <w:topLinePunct/>
              <w:autoSpaceDE w:val="0"/>
              <w:autoSpaceDN w:val="0"/>
              <w:adjustRightInd w:val="0"/>
              <w:snapToGrid w:val="0"/>
              <w:spacing w:before="62" w:after="62" w:line="360" w:lineRule="auto"/>
              <w:jc w:val="center"/>
              <w:rPr>
                <w:rFonts w:hint="eastAsia" w:ascii="宋体" w:hAnsi="宋体" w:eastAsia="宋体" w:cs="宋体"/>
                <w:szCs w:val="21"/>
                <w:highlight w:val="none"/>
              </w:rPr>
            </w:pPr>
          </w:p>
        </w:tc>
        <w:tc>
          <w:tcPr>
            <w:tcW w:w="1984" w:type="dxa"/>
            <w:vMerge w:val="continue"/>
            <w:vAlign w:val="center"/>
          </w:tcPr>
          <w:p w14:paraId="31EC2FC3">
            <w:pPr>
              <w:topLinePunct/>
              <w:autoSpaceDE w:val="0"/>
              <w:autoSpaceDN w:val="0"/>
              <w:adjustRightInd w:val="0"/>
              <w:snapToGrid w:val="0"/>
              <w:spacing w:line="360" w:lineRule="auto"/>
              <w:jc w:val="center"/>
              <w:rPr>
                <w:rFonts w:hint="eastAsia" w:ascii="宋体" w:hAnsi="宋体" w:eastAsia="宋体" w:cs="宋体"/>
                <w:szCs w:val="21"/>
                <w:highlight w:val="none"/>
              </w:rPr>
            </w:pPr>
          </w:p>
        </w:tc>
        <w:tc>
          <w:tcPr>
            <w:tcW w:w="6058" w:type="dxa"/>
            <w:gridSpan w:val="2"/>
            <w:vAlign w:val="center"/>
          </w:tcPr>
          <w:p w14:paraId="2B62476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本项目中采购信息安全产品的货物名称：</w:t>
            </w:r>
          </w:p>
          <w:p w14:paraId="5A1CBB7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采购包1：</w:t>
            </w:r>
            <w:r>
              <w:rPr>
                <w:rFonts w:hint="eastAsia" w:ascii="宋体" w:hAnsi="宋体" w:eastAsia="宋体" w:cs="宋体"/>
                <w:szCs w:val="21"/>
                <w:highlight w:val="none"/>
                <w:u w:val="single"/>
              </w:rPr>
              <w:t xml:space="preserve">本项目不适用 </w:t>
            </w:r>
            <w:r>
              <w:rPr>
                <w:rFonts w:hint="eastAsia" w:ascii="宋体" w:hAnsi="宋体" w:eastAsia="宋体" w:cs="宋体"/>
                <w:szCs w:val="21"/>
                <w:highlight w:val="none"/>
              </w:rPr>
              <w:t>。</w:t>
            </w:r>
          </w:p>
          <w:p w14:paraId="45185A36">
            <w:pPr>
              <w:topLinePunct/>
              <w:autoSpaceDE w:val="0"/>
              <w:autoSpaceDN w:val="0"/>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注：投标人所投上述产品需为国家认证的信息安全产品，并提供由中国网络安全审查技术与认证中心（原中国信息安全认证中心）按国家标准认证颁发的有效认证证书复印件，否则投标无效。</w:t>
            </w:r>
          </w:p>
        </w:tc>
      </w:tr>
      <w:tr w14:paraId="2321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5226D538">
            <w:pPr>
              <w:topLinePunct/>
              <w:autoSpaceDE w:val="0"/>
              <w:autoSpaceDN w:val="0"/>
              <w:adjustRightInd w:val="0"/>
              <w:snapToGrid w:val="0"/>
              <w:spacing w:line="360" w:lineRule="auto"/>
              <w:jc w:val="center"/>
              <w:rPr>
                <w:rFonts w:hint="eastAsia" w:ascii="宋体" w:hAnsi="宋体" w:eastAsia="宋体" w:cs="宋体"/>
                <w:szCs w:val="21"/>
                <w:highlight w:val="none"/>
              </w:rPr>
            </w:pPr>
          </w:p>
        </w:tc>
        <w:tc>
          <w:tcPr>
            <w:tcW w:w="1984" w:type="dxa"/>
            <w:vMerge w:val="continue"/>
            <w:vAlign w:val="center"/>
          </w:tcPr>
          <w:p w14:paraId="2807D391">
            <w:pPr>
              <w:topLinePunct/>
              <w:autoSpaceDE w:val="0"/>
              <w:autoSpaceDN w:val="0"/>
              <w:adjustRightInd w:val="0"/>
              <w:snapToGrid w:val="0"/>
              <w:spacing w:line="360" w:lineRule="auto"/>
              <w:jc w:val="center"/>
              <w:rPr>
                <w:rFonts w:hint="eastAsia" w:ascii="宋体" w:hAnsi="宋体" w:eastAsia="宋体" w:cs="宋体"/>
                <w:szCs w:val="21"/>
                <w:highlight w:val="none"/>
              </w:rPr>
            </w:pPr>
          </w:p>
        </w:tc>
        <w:tc>
          <w:tcPr>
            <w:tcW w:w="6058" w:type="dxa"/>
            <w:gridSpan w:val="2"/>
            <w:vAlign w:val="center"/>
          </w:tcPr>
          <w:p w14:paraId="14196519">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其他法律法规强制性规定或扶持政策：</w:t>
            </w:r>
          </w:p>
          <w:p w14:paraId="1BB0E7EE">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采购包1：</w:t>
            </w:r>
            <w:r>
              <w:rPr>
                <w:rFonts w:hint="eastAsia" w:ascii="宋体" w:hAnsi="宋体" w:eastAsia="宋体" w:cs="宋体"/>
                <w:szCs w:val="21"/>
                <w:highlight w:val="none"/>
                <w:u w:val="single"/>
              </w:rPr>
              <w:t>无</w:t>
            </w:r>
            <w:r>
              <w:rPr>
                <w:rFonts w:hint="eastAsia" w:ascii="宋体" w:hAnsi="宋体" w:eastAsia="宋体" w:cs="宋体"/>
                <w:szCs w:val="21"/>
                <w:highlight w:val="none"/>
              </w:rPr>
              <w:t>。</w:t>
            </w:r>
          </w:p>
        </w:tc>
      </w:tr>
      <w:tr w14:paraId="3795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71EA00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1984" w:type="dxa"/>
            <w:vAlign w:val="center"/>
          </w:tcPr>
          <w:p w14:paraId="2DA191CE">
            <w:pPr>
              <w:tabs>
                <w:tab w:val="left" w:pos="1875"/>
              </w:tabs>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评标方法</w:t>
            </w:r>
          </w:p>
          <w:p w14:paraId="0DCB10D9">
            <w:pPr>
              <w:tabs>
                <w:tab w:val="left" w:pos="1875"/>
              </w:tabs>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及分值</w:t>
            </w:r>
          </w:p>
        </w:tc>
        <w:tc>
          <w:tcPr>
            <w:tcW w:w="6058" w:type="dxa"/>
            <w:gridSpan w:val="2"/>
            <w:vAlign w:val="center"/>
          </w:tcPr>
          <w:p w14:paraId="43A0787F">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F0A3"/>
            </w:r>
            <w:r>
              <w:rPr>
                <w:rFonts w:hint="eastAsia" w:ascii="宋体" w:hAnsi="宋体" w:eastAsia="宋体" w:cs="宋体"/>
                <w:szCs w:val="21"/>
                <w:highlight w:val="none"/>
              </w:rPr>
              <w:t>本项目采用最低评标价法，详见招标文件商务部分第三章。</w:t>
            </w:r>
          </w:p>
          <w:p w14:paraId="3504368D">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本项目采用综合评分法，其中价格分值为</w:t>
            </w:r>
            <w:r>
              <w:rPr>
                <w:rFonts w:hint="eastAsia" w:ascii="宋体" w:hAnsi="宋体" w:eastAsia="宋体" w:cs="宋体"/>
                <w:szCs w:val="21"/>
                <w:highlight w:val="none"/>
                <w:u w:val="single"/>
              </w:rPr>
              <w:t xml:space="preserve">  15  </w:t>
            </w:r>
            <w:r>
              <w:rPr>
                <w:rFonts w:hint="eastAsia" w:ascii="宋体" w:hAnsi="宋体" w:eastAsia="宋体" w:cs="宋体"/>
                <w:szCs w:val="21"/>
                <w:highlight w:val="none"/>
              </w:rPr>
              <w:t>分，其他因素分值为</w:t>
            </w:r>
            <w:r>
              <w:rPr>
                <w:rFonts w:hint="eastAsia" w:ascii="宋体" w:hAnsi="宋体" w:eastAsia="宋体" w:cs="宋体"/>
                <w:szCs w:val="21"/>
                <w:highlight w:val="none"/>
                <w:u w:val="single"/>
              </w:rPr>
              <w:t xml:space="preserve">  85  </w:t>
            </w:r>
            <w:r>
              <w:rPr>
                <w:rFonts w:hint="eastAsia" w:ascii="宋体" w:hAnsi="宋体" w:eastAsia="宋体" w:cs="宋体"/>
                <w:szCs w:val="21"/>
                <w:highlight w:val="none"/>
              </w:rPr>
              <w:t>分，详见招标文件商务部分第三章。</w:t>
            </w:r>
          </w:p>
        </w:tc>
      </w:tr>
      <w:tr w14:paraId="10F9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AEB25F8">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27</w:t>
            </w:r>
          </w:p>
        </w:tc>
        <w:tc>
          <w:tcPr>
            <w:tcW w:w="1984" w:type="dxa"/>
            <w:vAlign w:val="center"/>
          </w:tcPr>
          <w:p w14:paraId="30C7511A">
            <w:pPr>
              <w:topLinePunct/>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履约保证金</w:t>
            </w:r>
          </w:p>
        </w:tc>
        <w:tc>
          <w:tcPr>
            <w:tcW w:w="6058" w:type="dxa"/>
            <w:gridSpan w:val="2"/>
            <w:vAlign w:val="center"/>
          </w:tcPr>
          <w:p w14:paraId="54E037CA">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不要求提供</w:t>
            </w:r>
          </w:p>
          <w:p w14:paraId="3269F2B2">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sym w:font="Wingdings 2" w:char="00A3"/>
            </w:r>
            <w:r>
              <w:rPr>
                <w:rFonts w:hint="eastAsia" w:ascii="宋体" w:hAnsi="宋体" w:eastAsia="宋体" w:cs="宋体"/>
                <w:szCs w:val="21"/>
                <w:highlight w:val="none"/>
              </w:rPr>
              <w:t>本采购项目履约保证金为合同金额的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，提交方式为银行电汇、金融机构或担保机构出具的保函。</w:t>
            </w:r>
          </w:p>
          <w:p w14:paraId="7F951E1C">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账户信息：</w:t>
            </w:r>
            <w:r>
              <w:rPr>
                <w:rFonts w:hint="eastAsia" w:ascii="宋体" w:hAnsi="宋体" w:eastAsia="宋体" w:cs="宋体"/>
                <w:szCs w:val="21"/>
                <w:highlight w:val="none"/>
                <w:u w:val="single"/>
              </w:rPr>
              <w:t xml:space="preserve">            </w:t>
            </w:r>
          </w:p>
          <w:p w14:paraId="1DCA354C">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收款单位：</w:t>
            </w:r>
            <w:r>
              <w:rPr>
                <w:rFonts w:hint="eastAsia" w:ascii="宋体" w:hAnsi="宋体" w:eastAsia="宋体" w:cs="宋体"/>
                <w:szCs w:val="21"/>
                <w:highlight w:val="none"/>
                <w:u w:val="single"/>
              </w:rPr>
              <w:t xml:space="preserve">            </w:t>
            </w:r>
          </w:p>
          <w:p w14:paraId="62A8AF19">
            <w:pPr>
              <w:topLinePunct/>
              <w:autoSpaceDE w:val="0"/>
              <w:autoSpaceDN w:val="0"/>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u w:val="single"/>
              </w:rPr>
              <w:t xml:space="preserve">            </w:t>
            </w:r>
          </w:p>
          <w:p w14:paraId="39E4AFB8">
            <w:pPr>
              <w:topLinePunct/>
              <w:autoSpaceDE w:val="0"/>
              <w:autoSpaceDN w:val="0"/>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银行账号：</w:t>
            </w:r>
            <w:r>
              <w:rPr>
                <w:rFonts w:hint="eastAsia" w:ascii="宋体" w:hAnsi="宋体" w:eastAsia="宋体" w:cs="宋体"/>
                <w:szCs w:val="21"/>
                <w:highlight w:val="none"/>
                <w:u w:val="single"/>
              </w:rPr>
              <w:t xml:space="preserve">            </w:t>
            </w:r>
          </w:p>
        </w:tc>
      </w:tr>
      <w:tr w14:paraId="73B7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031A568">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28</w:t>
            </w:r>
          </w:p>
        </w:tc>
        <w:tc>
          <w:tcPr>
            <w:tcW w:w="1984" w:type="dxa"/>
            <w:vAlign w:val="center"/>
          </w:tcPr>
          <w:p w14:paraId="53F71D08">
            <w:pPr>
              <w:topLinePunct/>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szCs w:val="21"/>
                <w:highlight w:val="none"/>
              </w:rPr>
              <w:t>接收质疑的方式、部门、电话和通讯地址</w:t>
            </w:r>
          </w:p>
        </w:tc>
        <w:tc>
          <w:tcPr>
            <w:tcW w:w="6058" w:type="dxa"/>
            <w:gridSpan w:val="2"/>
            <w:vAlign w:val="center"/>
          </w:tcPr>
          <w:p w14:paraId="1757706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质疑联系方式：</w:t>
            </w:r>
          </w:p>
          <w:p w14:paraId="27DDBB3A">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（1）接收质疑函的方式：</w:t>
            </w:r>
            <w:r>
              <w:rPr>
                <w:rFonts w:hint="eastAsia" w:ascii="宋体" w:hAnsi="宋体" w:eastAsia="宋体" w:cs="宋体"/>
                <w:szCs w:val="21"/>
                <w:highlight w:val="none"/>
                <w:u w:val="single"/>
              </w:rPr>
              <w:t xml:space="preserve">  书面方式；</w:t>
            </w:r>
          </w:p>
          <w:p w14:paraId="6E227E4A">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（2）联系部门：</w:t>
            </w:r>
            <w:r>
              <w:rPr>
                <w:rFonts w:hint="eastAsia" w:ascii="宋体" w:hAnsi="宋体" w:eastAsia="宋体" w:cs="宋体"/>
                <w:szCs w:val="21"/>
                <w:highlight w:val="none"/>
                <w:u w:val="single"/>
              </w:rPr>
              <w:t xml:space="preserve">     招标部； </w:t>
            </w:r>
          </w:p>
          <w:p w14:paraId="38271D71">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（3）联系电话：</w:t>
            </w:r>
            <w:r>
              <w:rPr>
                <w:rFonts w:hint="eastAsia" w:ascii="宋体" w:hAnsi="宋体" w:eastAsia="宋体" w:cs="宋体"/>
                <w:szCs w:val="21"/>
                <w:highlight w:val="none"/>
                <w:u w:val="single"/>
              </w:rPr>
              <w:t xml:space="preserve">  0591-87527653；</w:t>
            </w:r>
          </w:p>
          <w:p w14:paraId="4B7AD36F">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（4）通讯地址：</w:t>
            </w:r>
            <w:r>
              <w:rPr>
                <w:rFonts w:hint="eastAsia" w:ascii="宋体" w:hAnsi="宋体" w:eastAsia="宋体" w:cs="宋体"/>
                <w:szCs w:val="21"/>
                <w:highlight w:val="none"/>
                <w:u w:val="single"/>
              </w:rPr>
              <w:t>福建省中亿通招标咨询有限公司（</w:t>
            </w:r>
            <w:r>
              <w:rPr>
                <w:rFonts w:hint="eastAsia" w:ascii="宋体" w:hAnsi="宋体" w:eastAsia="宋体" w:cs="宋体"/>
                <w:szCs w:val="21"/>
                <w:highlight w:val="none"/>
              </w:rPr>
              <w:t>福建省</w:t>
            </w:r>
            <w:r>
              <w:rPr>
                <w:rFonts w:hint="eastAsia" w:ascii="宋体" w:hAnsi="宋体" w:eastAsia="宋体" w:cs="宋体"/>
                <w:highlight w:val="none"/>
                <w:u w:val="single"/>
                <w:shd w:val="clear" w:color="auto" w:fill="FFFFFF"/>
              </w:rPr>
              <w:t>福州市鼓楼区华润万象城三期S11栋1910单元</w:t>
            </w:r>
            <w:r>
              <w:rPr>
                <w:rFonts w:hint="eastAsia" w:ascii="宋体" w:hAnsi="宋体" w:eastAsia="宋体" w:cs="宋体"/>
                <w:szCs w:val="21"/>
                <w:highlight w:val="none"/>
                <w:u w:val="single"/>
              </w:rPr>
              <w:t>）</w:t>
            </w:r>
            <w:r>
              <w:rPr>
                <w:rFonts w:hint="eastAsia" w:ascii="宋体" w:hAnsi="宋体" w:eastAsia="宋体" w:cs="宋体"/>
                <w:highlight w:val="none"/>
                <w:u w:val="single"/>
                <w:shd w:val="clear" w:color="auto" w:fill="FFFFFF"/>
              </w:rPr>
              <w:t>；</w:t>
            </w:r>
          </w:p>
          <w:p w14:paraId="3E94757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（5）电子邮箱：</w:t>
            </w:r>
            <w:r>
              <w:rPr>
                <w:rFonts w:hint="eastAsia" w:ascii="宋体" w:hAnsi="宋体" w:eastAsia="宋体" w:cs="宋体"/>
                <w:szCs w:val="21"/>
                <w:highlight w:val="none"/>
                <w:u w:val="single"/>
              </w:rPr>
              <w:t xml:space="preserve">    zytzb2019@126.com 。</w:t>
            </w:r>
          </w:p>
        </w:tc>
      </w:tr>
      <w:tr w14:paraId="52AF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BD6B602">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29</w:t>
            </w:r>
          </w:p>
        </w:tc>
        <w:tc>
          <w:tcPr>
            <w:tcW w:w="1984" w:type="dxa"/>
            <w:vAlign w:val="center"/>
          </w:tcPr>
          <w:p w14:paraId="75AC5E2C">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需提交的投标文件份数</w:t>
            </w:r>
          </w:p>
        </w:tc>
        <w:tc>
          <w:tcPr>
            <w:tcW w:w="6058" w:type="dxa"/>
            <w:gridSpan w:val="2"/>
            <w:vAlign w:val="center"/>
          </w:tcPr>
          <w:p w14:paraId="13D1B8F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需提交的投标文件份数：</w:t>
            </w:r>
          </w:p>
          <w:p w14:paraId="7383019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（1）正本</w:t>
            </w:r>
            <w:r>
              <w:rPr>
                <w:rFonts w:hint="eastAsia" w:ascii="宋体" w:hAnsi="宋体" w:eastAsia="宋体" w:cs="宋体"/>
                <w:szCs w:val="21"/>
                <w:highlight w:val="none"/>
                <w:u w:val="single"/>
              </w:rPr>
              <w:t>1</w:t>
            </w:r>
            <w:r>
              <w:rPr>
                <w:rFonts w:hint="eastAsia" w:ascii="宋体" w:hAnsi="宋体" w:eastAsia="宋体" w:cs="宋体"/>
                <w:szCs w:val="21"/>
                <w:highlight w:val="none"/>
              </w:rPr>
              <w:t>份、副本</w:t>
            </w:r>
            <w:r>
              <w:rPr>
                <w:rFonts w:hint="eastAsia" w:ascii="宋体" w:hAnsi="宋体" w:eastAsia="宋体" w:cs="宋体"/>
                <w:szCs w:val="21"/>
                <w:highlight w:val="none"/>
                <w:u w:val="single"/>
              </w:rPr>
              <w:t xml:space="preserve">  5  </w:t>
            </w:r>
            <w:r>
              <w:rPr>
                <w:rFonts w:hint="eastAsia" w:ascii="宋体" w:hAnsi="宋体" w:eastAsia="宋体" w:cs="宋体"/>
                <w:szCs w:val="21"/>
                <w:highlight w:val="none"/>
              </w:rPr>
              <w:t>份。</w:t>
            </w:r>
          </w:p>
          <w:p w14:paraId="26E8630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（2）电子文件</w:t>
            </w:r>
            <w:r>
              <w:rPr>
                <w:rFonts w:hint="eastAsia" w:ascii="宋体" w:hAnsi="宋体" w:eastAsia="宋体" w:cs="宋体"/>
                <w:szCs w:val="21"/>
                <w:highlight w:val="none"/>
                <w:u w:val="single"/>
              </w:rPr>
              <w:t xml:space="preserve"> 1 </w:t>
            </w:r>
            <w:r>
              <w:rPr>
                <w:rFonts w:hint="eastAsia" w:ascii="宋体" w:hAnsi="宋体" w:eastAsia="宋体" w:cs="宋体"/>
                <w:szCs w:val="21"/>
                <w:highlight w:val="none"/>
              </w:rPr>
              <w:t>份（☑扫描件 ☑Word）。</w:t>
            </w:r>
          </w:p>
          <w:p w14:paraId="5B237A0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采用光盘或U盘刻录提交。</w:t>
            </w:r>
          </w:p>
        </w:tc>
      </w:tr>
      <w:tr w14:paraId="501C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1027E9D">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30</w:t>
            </w:r>
          </w:p>
        </w:tc>
        <w:tc>
          <w:tcPr>
            <w:tcW w:w="1984" w:type="dxa"/>
            <w:vAlign w:val="center"/>
          </w:tcPr>
          <w:p w14:paraId="3ACF4000">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代理费用</w:t>
            </w:r>
          </w:p>
        </w:tc>
        <w:tc>
          <w:tcPr>
            <w:tcW w:w="6058" w:type="dxa"/>
            <w:gridSpan w:val="2"/>
            <w:vAlign w:val="center"/>
          </w:tcPr>
          <w:p w14:paraId="14BD93B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代理费用：</w:t>
            </w:r>
          </w:p>
          <w:p w14:paraId="3585B5D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（1）本项目代理费用由</w:t>
            </w:r>
            <w:r>
              <w:rPr>
                <w:rFonts w:hint="eastAsia" w:ascii="宋体" w:hAnsi="宋体" w:eastAsia="宋体" w:cs="宋体"/>
                <w:szCs w:val="21"/>
                <w:highlight w:val="none"/>
                <w:u w:val="single"/>
              </w:rPr>
              <w:t>（中标人）</w:t>
            </w:r>
            <w:r>
              <w:rPr>
                <w:rFonts w:hint="eastAsia" w:ascii="宋体" w:hAnsi="宋体" w:eastAsia="宋体" w:cs="宋体"/>
                <w:szCs w:val="21"/>
                <w:highlight w:val="none"/>
              </w:rPr>
              <w:t>支付。</w:t>
            </w:r>
          </w:p>
          <w:p w14:paraId="631E36C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（2）代理费用收取方式及标准：</w:t>
            </w:r>
          </w:p>
          <w:p w14:paraId="2FD74B39">
            <w:pPr>
              <w:spacing w:line="360" w:lineRule="auto"/>
              <w:rPr>
                <w:rFonts w:hint="eastAsia" w:ascii="宋体" w:hAnsi="宋体" w:eastAsia="宋体" w:cs="宋体"/>
                <w:szCs w:val="21"/>
                <w:highlight w:val="none"/>
              </w:rPr>
            </w:pPr>
            <w:r>
              <w:rPr>
                <w:rFonts w:hint="eastAsia" w:ascii="宋体" w:hAnsi="宋体" w:eastAsia="宋体" w:cs="宋体"/>
                <w:szCs w:val="21"/>
                <w:highlight w:val="none"/>
                <w:u w:val="single"/>
              </w:rPr>
              <w:t>采购包1：①以预算金额×中标结算系数作为收费的计算基数，按下列收费费率差额定率累进法计算。 ②收费费率标准：中标金额在100万元以下：1.5%；100-500万元：0.8%；500-1000万元：0.45%。③中标人以转账或电汇付款方式一次性向采购代理机构缴纳代理服务费。代理服务费缴交账号：开户名：福建省中亿通招标咨询有限公司，开户行：中国工商银行股份有限公司福州屏山支行，账号：1402201009600007936。</w:t>
            </w:r>
          </w:p>
        </w:tc>
      </w:tr>
      <w:tr w14:paraId="65BB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E9285AE">
            <w:pPr>
              <w:topLinePunct/>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1984" w:type="dxa"/>
            <w:vAlign w:val="center"/>
          </w:tcPr>
          <w:p w14:paraId="77A59359">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其他补充事项</w:t>
            </w:r>
          </w:p>
        </w:tc>
        <w:tc>
          <w:tcPr>
            <w:tcW w:w="6058" w:type="dxa"/>
            <w:gridSpan w:val="2"/>
            <w:vAlign w:val="center"/>
          </w:tcPr>
          <w:p w14:paraId="0B89AF5D">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u w:val="single"/>
              </w:rPr>
              <w:t>无。</w:t>
            </w:r>
          </w:p>
        </w:tc>
      </w:tr>
    </w:tbl>
    <w:p w14:paraId="3AE5CE21">
      <w:pPr>
        <w:rPr>
          <w:rFonts w:hint="eastAsia" w:ascii="宋体" w:hAnsi="宋体" w:eastAsia="宋体" w:cs="宋体"/>
        </w:rPr>
      </w:pPr>
    </w:p>
    <w:p w14:paraId="0DA8B1E3">
      <w:pPr>
        <w:rPr>
          <w:rFonts w:hint="eastAsia" w:ascii="宋体" w:hAnsi="宋体" w:eastAsia="宋体" w:cs="宋体"/>
        </w:rPr>
        <w:sectPr>
          <w:pgSz w:w="11906" w:h="16838"/>
          <w:pgMar w:top="1440" w:right="1752" w:bottom="1440" w:left="1752" w:header="851" w:footer="992" w:gutter="0"/>
          <w:cols w:space="720" w:num="1"/>
          <w:titlePg/>
          <w:docGrid w:type="lines" w:linePitch="312" w:charSpace="0"/>
        </w:sectPr>
      </w:pPr>
    </w:p>
    <w:p w14:paraId="059B6E54">
      <w:pPr>
        <w:spacing w:line="360" w:lineRule="auto"/>
        <w:ind w:firstLine="422" w:firstLineChars="200"/>
        <w:jc w:val="center"/>
        <w:outlineLvl w:val="1"/>
        <w:rPr>
          <w:rFonts w:hint="eastAsia" w:ascii="宋体" w:hAnsi="宋体" w:eastAsia="宋体" w:cs="宋体"/>
          <w:b/>
          <w:bCs/>
          <w:szCs w:val="21"/>
        </w:rPr>
      </w:pPr>
      <w:bookmarkStart w:id="4" w:name="_Toc30149"/>
      <w:r>
        <w:rPr>
          <w:rFonts w:hint="eastAsia" w:ascii="宋体" w:hAnsi="宋体" w:eastAsia="宋体" w:cs="宋体"/>
          <w:b/>
          <w:bCs/>
          <w:szCs w:val="21"/>
        </w:rPr>
        <w:t>一、总则</w:t>
      </w:r>
      <w:bookmarkEnd w:id="4"/>
    </w:p>
    <w:p w14:paraId="56383DA9">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1.预算资金及来源</w:t>
      </w:r>
    </w:p>
    <w:p w14:paraId="4D7EB035">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 本项目已经</w:t>
      </w:r>
      <w:r>
        <w:rPr>
          <w:rFonts w:hint="eastAsia" w:ascii="宋体" w:hAnsi="宋体" w:eastAsia="宋体" w:cs="宋体"/>
          <w:b/>
          <w:szCs w:val="21"/>
          <w:u w:val="single"/>
        </w:rPr>
        <w:t>国家税务总局南平市税务局</w:t>
      </w:r>
      <w:r>
        <w:rPr>
          <w:rFonts w:hint="eastAsia" w:ascii="宋体" w:hAnsi="宋体" w:eastAsia="宋体" w:cs="宋体"/>
          <w:szCs w:val="21"/>
        </w:rPr>
        <w:t>批准立项。</w:t>
      </w:r>
    </w:p>
    <w:p w14:paraId="5270361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 本项目预算资金见</w:t>
      </w:r>
      <w:r>
        <w:rPr>
          <w:rFonts w:hint="eastAsia" w:ascii="宋体" w:hAnsi="宋体" w:eastAsia="宋体" w:cs="宋体"/>
          <w:b/>
          <w:bCs/>
          <w:szCs w:val="21"/>
        </w:rPr>
        <w:t>投标人须知前附表</w:t>
      </w:r>
      <w:r>
        <w:rPr>
          <w:rFonts w:hint="eastAsia" w:ascii="宋体" w:hAnsi="宋体" w:eastAsia="宋体" w:cs="宋体"/>
          <w:szCs w:val="21"/>
        </w:rPr>
        <w:t>，已列入</w:t>
      </w:r>
      <w:r>
        <w:rPr>
          <w:rFonts w:hint="eastAsia" w:ascii="宋体" w:hAnsi="宋体" w:eastAsia="宋体" w:cs="宋体"/>
          <w:b/>
          <w:szCs w:val="21"/>
          <w:u w:val="single"/>
        </w:rPr>
        <w:t>国家税务总局南平市税务局</w:t>
      </w:r>
      <w:r>
        <w:rPr>
          <w:rFonts w:hint="eastAsia" w:ascii="宋体" w:hAnsi="宋体" w:eastAsia="宋体" w:cs="宋体"/>
          <w:szCs w:val="21"/>
        </w:rPr>
        <w:t>预算。</w:t>
      </w:r>
    </w:p>
    <w:p w14:paraId="36D161DC">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2.合格的产品和服务</w:t>
      </w:r>
    </w:p>
    <w:p w14:paraId="22C1EE8E">
      <w:pPr>
        <w:tabs>
          <w:tab w:val="left" w:pos="216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 本项目所涉及的所有产品和服务均应来自中国境内（指关境内），合同金额的支付也仅限于这些产品和服务。</w:t>
      </w:r>
    </w:p>
    <w:p w14:paraId="67D51DA4">
      <w:pPr>
        <w:tabs>
          <w:tab w:val="left" w:pos="216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 合格的产品和服务即</w:t>
      </w:r>
      <w:r>
        <w:rPr>
          <w:rFonts w:hint="eastAsia" w:ascii="宋体" w:hAnsi="宋体" w:eastAsia="宋体" w:cs="宋体"/>
          <w:b/>
          <w:bCs/>
          <w:szCs w:val="21"/>
        </w:rPr>
        <w:t>采购需求</w:t>
      </w:r>
      <w:r>
        <w:rPr>
          <w:rFonts w:hint="eastAsia" w:ascii="宋体" w:hAnsi="宋体" w:eastAsia="宋体" w:cs="宋体"/>
          <w:szCs w:val="21"/>
        </w:rPr>
        <w:t>见</w:t>
      </w:r>
      <w:r>
        <w:rPr>
          <w:rFonts w:hint="eastAsia" w:ascii="宋体" w:hAnsi="宋体" w:eastAsia="宋体" w:cs="宋体"/>
          <w:b/>
          <w:szCs w:val="21"/>
        </w:rPr>
        <w:t>招标文件（技术部分）。</w:t>
      </w:r>
    </w:p>
    <w:p w14:paraId="313D828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 投标人应保证所提供的产品及服务免受第三方提出侵犯其知识产权（专利权、商标权、工业设计权及使用权）的请求及起诉。</w:t>
      </w:r>
    </w:p>
    <w:p w14:paraId="54530445">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3.合格的投标人</w:t>
      </w:r>
    </w:p>
    <w:p w14:paraId="488F8FF4">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3.1一般规定</w:t>
      </w:r>
    </w:p>
    <w:p w14:paraId="0E081E17">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3.1.1投标人应遵守《政府采购法》及其实施条例、《政府采购货物和服务招标投标管理办法》、《政府采购质疑和投诉办法》及有关政府采购的规定，同时还应遵守有关法律、法规和规章的强制性规定。</w:t>
      </w:r>
    </w:p>
    <w:p w14:paraId="5C0CA570">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3.1.2投标人的资格要求及本项目的特定资格要求见</w:t>
      </w:r>
      <w:r>
        <w:rPr>
          <w:rFonts w:ascii="宋体" w:hAnsi="宋体" w:cs="宋体"/>
          <w:b/>
          <w:sz w:val="21"/>
          <w:szCs w:val="21"/>
        </w:rPr>
        <w:t>投标人须知前附表</w:t>
      </w:r>
      <w:r>
        <w:rPr>
          <w:rFonts w:ascii="宋体" w:hAnsi="宋体" w:cs="宋体"/>
          <w:sz w:val="21"/>
          <w:szCs w:val="21"/>
        </w:rPr>
        <w:t>。</w:t>
      </w:r>
    </w:p>
    <w:p w14:paraId="451ADA15">
      <w:pPr>
        <w:pStyle w:val="73"/>
        <w:widowControl w:val="0"/>
        <w:spacing w:line="360" w:lineRule="auto"/>
        <w:ind w:firstLine="420" w:firstLineChars="200"/>
        <w:rPr>
          <w:rFonts w:ascii="宋体" w:hAnsi="宋体" w:cs="宋体"/>
          <w:sz w:val="21"/>
          <w:szCs w:val="21"/>
        </w:rPr>
      </w:pPr>
      <w:r>
        <w:rPr>
          <w:rFonts w:ascii="宋体" w:hAnsi="宋体" w:cs="宋体"/>
          <w:sz w:val="21"/>
          <w:szCs w:val="21"/>
        </w:rPr>
        <w:t>3.1.3资格条件中所称“重大违法记录”，是指投标人因违法经营受到刑事处罚或者责令停产停业、吊销许可证或者执照、较大数额罚款等行政处罚。</w:t>
      </w:r>
    </w:p>
    <w:p w14:paraId="465FA65C">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投标人在参加政府采购活动前3年内因违法经营被禁止在一定期限内参加政府采购活动，期限届满的，可以参加政府采购活动。</w:t>
      </w:r>
    </w:p>
    <w:p w14:paraId="77C6210C">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“较大数额罚款”认定为200万元以上的罚款，法律、行政法规以及国务院有关部门明确规定相关领域“较大数额罚款”标准高于200万元的，从其规定。</w:t>
      </w:r>
    </w:p>
    <w:p w14:paraId="3BA139C2">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3.1.4信用记录要求</w:t>
      </w:r>
    </w:p>
    <w:p w14:paraId="14B6E9EB">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3862E65D">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003AC708">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3.2联合体</w:t>
      </w:r>
    </w:p>
    <w:p w14:paraId="7311A339">
      <w:pPr>
        <w:pStyle w:val="73"/>
        <w:widowControl w:val="0"/>
        <w:spacing w:line="360" w:lineRule="auto"/>
        <w:ind w:firstLine="420" w:firstLineChars="200"/>
        <w:rPr>
          <w:rFonts w:ascii="宋体" w:hAnsi="宋体" w:cs="宋体"/>
          <w:sz w:val="21"/>
          <w:szCs w:val="21"/>
        </w:rPr>
      </w:pPr>
      <w:r>
        <w:rPr>
          <w:rFonts w:ascii="宋体" w:hAnsi="宋体" w:cs="宋体"/>
          <w:sz w:val="21"/>
          <w:szCs w:val="21"/>
        </w:rPr>
        <w:t>3.2.1若本项目接受联合体投标，则两个以上的自然人、法人或者其他组织可以组成一个联合体，以一个投标人的身份共同参加政府采购。</w:t>
      </w:r>
    </w:p>
    <w:p w14:paraId="3E4FDE6E">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3.2.2以联合体形式参加投标的，联合体各方应按第二章要求提供资格条件材料。</w:t>
      </w:r>
    </w:p>
    <w:p w14:paraId="44A66E84">
      <w:pPr>
        <w:pStyle w:val="73"/>
        <w:widowControl w:val="0"/>
        <w:spacing w:line="360" w:lineRule="auto"/>
        <w:ind w:firstLine="420" w:firstLineChars="200"/>
        <w:rPr>
          <w:rFonts w:ascii="宋体" w:hAnsi="宋体" w:cs="宋体"/>
          <w:sz w:val="21"/>
          <w:szCs w:val="21"/>
        </w:rPr>
      </w:pPr>
      <w:r>
        <w:rPr>
          <w:rFonts w:ascii="宋体" w:hAnsi="宋体" w:cs="宋体"/>
          <w:sz w:val="21"/>
          <w:szCs w:val="21"/>
        </w:rPr>
        <w:t>3.2.3联合体中有同类资质的投标人按照联合体分工承担相同工作的，应当按照资质等级较低的投标人确定资质等级。</w:t>
      </w:r>
    </w:p>
    <w:p w14:paraId="477D16EC">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3.2.4联合体应当提交联合协议，载明联合体各方承担的工作和义务。</w:t>
      </w:r>
    </w:p>
    <w:p w14:paraId="78F9F41D">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3.2.5联合体各方应当共同与采购人签订采购合同，就采购合同约定的事项对采购人承担连带责任。</w:t>
      </w:r>
    </w:p>
    <w:p w14:paraId="00C972B2">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3.2.6以联合体形式参加政府采购活动的，联合体各方不得再单独参加或者与其他投标人另外组成联合体参加同一合同项下的政府采购活动。</w:t>
      </w:r>
    </w:p>
    <w:p w14:paraId="6BB1F53D">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3.3禁止规定</w:t>
      </w:r>
    </w:p>
    <w:p w14:paraId="6D1F8DCD">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3.3.1单位负责人为同一人或者存在直接控股、管理关系的不同投标人，不得参加同一采购包的政府采购活动。否则投标均无效。</w:t>
      </w:r>
    </w:p>
    <w:p w14:paraId="49A22634">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3.3.2除单一来源采购项目外，为采购项目提供整体设计、规范编制或者项目管理、监理、检测等服务的供应商，不得再参加该采购项目的其他采购活动。否则投标无效。</w:t>
      </w:r>
    </w:p>
    <w:p w14:paraId="172B0DE1">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4.投标费用</w:t>
      </w:r>
    </w:p>
    <w:p w14:paraId="0011D84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4.1 投标人应承担所有与编写、提交投标文件有关的费用，不论招标的结果如何，采购人在任何情况下均无义务和责任承担这些费用。</w:t>
      </w:r>
    </w:p>
    <w:p w14:paraId="25626279">
      <w:pPr>
        <w:spacing w:line="360" w:lineRule="auto"/>
        <w:ind w:firstLine="422" w:firstLineChars="200"/>
        <w:jc w:val="center"/>
        <w:outlineLvl w:val="1"/>
        <w:rPr>
          <w:rFonts w:hint="eastAsia" w:ascii="宋体" w:hAnsi="宋体" w:eastAsia="宋体" w:cs="宋体"/>
          <w:b/>
          <w:bCs/>
        </w:rPr>
      </w:pPr>
      <w:bookmarkStart w:id="5" w:name="_Toc23857"/>
      <w:r>
        <w:rPr>
          <w:rFonts w:hint="eastAsia" w:ascii="宋体" w:hAnsi="宋体" w:eastAsia="宋体" w:cs="宋体"/>
          <w:b/>
          <w:bCs/>
        </w:rPr>
        <w:t>二、招标文件</w:t>
      </w:r>
      <w:bookmarkEnd w:id="5"/>
    </w:p>
    <w:p w14:paraId="0B2EF52D">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5.招标文件构成</w:t>
      </w:r>
    </w:p>
    <w:p w14:paraId="0B199931">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第一部分 商务部分</w:t>
      </w:r>
    </w:p>
    <w:p w14:paraId="59E86D4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（1）招标公告</w:t>
      </w:r>
    </w:p>
    <w:p w14:paraId="56CE4A4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（2）投标人须知</w:t>
      </w:r>
    </w:p>
    <w:p w14:paraId="04CA2D2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（3）评标方法及标准</w:t>
      </w:r>
    </w:p>
    <w:p w14:paraId="581A4F67">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（4）政府采购合同文本</w:t>
      </w:r>
    </w:p>
    <w:p w14:paraId="72A7128D">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（5）投标文件格式</w:t>
      </w:r>
    </w:p>
    <w:p w14:paraId="5F6DB399">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第二部分 技术部分</w:t>
      </w:r>
    </w:p>
    <w:p w14:paraId="158355BB">
      <w:pPr>
        <w:topLinePunct/>
        <w:autoSpaceDE w:val="0"/>
        <w:autoSpaceDN w:val="0"/>
        <w:adjustRightInd w:val="0"/>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6.招标文件询问、澄清或修改</w:t>
      </w:r>
    </w:p>
    <w:p w14:paraId="2F40A1D0">
      <w:pPr>
        <w:widowControl/>
        <w:topLinePunct/>
        <w:autoSpaceDE w:val="0"/>
        <w:autoSpaceDN w:val="0"/>
        <w:adjustRightInd w:val="0"/>
        <w:snapToGrid w:val="0"/>
        <w:spacing w:line="360" w:lineRule="auto"/>
        <w:ind w:firstLine="420" w:firstLineChars="200"/>
        <w:jc w:val="left"/>
        <w:rPr>
          <w:rFonts w:hint="eastAsia" w:ascii="宋体" w:hAnsi="宋体" w:eastAsia="宋体" w:cs="宋体"/>
          <w:b/>
          <w:szCs w:val="21"/>
        </w:rPr>
      </w:pPr>
      <w:r>
        <w:rPr>
          <w:rFonts w:hint="eastAsia" w:ascii="宋体" w:hAnsi="宋体" w:eastAsia="宋体" w:cs="宋体"/>
          <w:szCs w:val="21"/>
        </w:rPr>
        <w:t>6.1 投标人对招标文件如有疑问的，可以向采购人或者采购代理机构提出询问，采购人或者采购代理机构应当在3个工作日内作出答复</w:t>
      </w:r>
      <w:r>
        <w:rPr>
          <w:rFonts w:hint="eastAsia" w:ascii="宋体" w:hAnsi="宋体" w:eastAsia="宋体" w:cs="宋体"/>
          <w:bCs/>
          <w:szCs w:val="21"/>
        </w:rPr>
        <w:t>，但答复的内容不得涉及商业秘密。</w:t>
      </w:r>
      <w:r>
        <w:rPr>
          <w:rFonts w:hint="eastAsia" w:ascii="宋体" w:hAnsi="宋体" w:eastAsia="宋体" w:cs="宋体"/>
          <w:szCs w:val="21"/>
        </w:rPr>
        <w:t>如有必要，采购人或者采购代理机构可对招标文件进行澄清或者修改。</w:t>
      </w:r>
    </w:p>
    <w:p w14:paraId="3979CBE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6.2 采购人或者采购代理机构可主动对招标文件进行必要的澄清或者修改，但不得改变采购标的和资格条件。</w:t>
      </w:r>
    </w:p>
    <w:p w14:paraId="5F9F6B99">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6.3 澄清或者修改应当在原公告发布媒体上发布澄清公告，线上采购项目还应通过国家税务总局政府采购评审管理系统（以下简称“评审管理系统”）通知所有获取招标文件的潜在投标人。</w:t>
      </w:r>
    </w:p>
    <w:p w14:paraId="5334EA86">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14:paraId="2CEAE3C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6.5 澄清或者修改的内容为招标文件的组成部分。</w:t>
      </w:r>
    </w:p>
    <w:p w14:paraId="32B1B603">
      <w:pPr>
        <w:spacing w:line="360" w:lineRule="auto"/>
        <w:ind w:firstLine="422" w:firstLineChars="200"/>
        <w:jc w:val="center"/>
        <w:outlineLvl w:val="1"/>
        <w:rPr>
          <w:rFonts w:hint="eastAsia" w:ascii="宋体" w:hAnsi="宋体" w:eastAsia="宋体" w:cs="宋体"/>
          <w:b/>
          <w:bCs/>
        </w:rPr>
      </w:pPr>
      <w:bookmarkStart w:id="6" w:name="_Toc14017"/>
      <w:r>
        <w:rPr>
          <w:rFonts w:hint="eastAsia" w:ascii="宋体" w:hAnsi="宋体" w:eastAsia="宋体" w:cs="宋体"/>
          <w:b/>
          <w:bCs/>
        </w:rPr>
        <w:t>三、投标文件</w:t>
      </w:r>
      <w:bookmarkEnd w:id="6"/>
    </w:p>
    <w:p w14:paraId="4A796394">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7</w:t>
      </w:r>
      <w:r>
        <w:rPr>
          <w:rFonts w:hint="eastAsia" w:ascii="宋体" w:hAnsi="宋体" w:eastAsia="宋体" w:cs="宋体"/>
          <w:szCs w:val="21"/>
        </w:rPr>
        <w:t>．</w:t>
      </w:r>
      <w:r>
        <w:rPr>
          <w:rFonts w:hint="eastAsia" w:ascii="宋体" w:hAnsi="宋体" w:eastAsia="宋体" w:cs="宋体"/>
          <w:b/>
          <w:szCs w:val="21"/>
        </w:rPr>
        <w:t>投标文件编制</w:t>
      </w:r>
    </w:p>
    <w:p w14:paraId="5C0D9592">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7.1投标文件的编制</w:t>
      </w:r>
    </w:p>
    <w:p w14:paraId="5E70B309">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7.1.1投标人应先仔细阅读招标文件的全部内容后，再进行投标文件的编制。</w:t>
      </w:r>
    </w:p>
    <w:p w14:paraId="42A43D1A">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7.1.2投标文件应满足招标文件提出的实质性要求和条件，并保证其所提交的全部资料是不可割离且真实、有效、准确、完整和不具有任何误导性的，否则造成不利后果由投标人承担责任。</w:t>
      </w:r>
    </w:p>
    <w:p w14:paraId="1F7C7859">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7.2投标文件的语言</w:t>
      </w:r>
    </w:p>
    <w:p w14:paraId="0D0F053C">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7.2.1除招标文件另有规定外，投标文件应使用中文文本并使用中文简化字，若有不同文本，以中文简化字文本为准。</w:t>
      </w:r>
    </w:p>
    <w:p w14:paraId="19D65515">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7.2.2投标文件提供的全部资料中，若属于非中文描述的，应同时提供中文简化字译本。</w:t>
      </w:r>
    </w:p>
    <w:p w14:paraId="742C22B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7.2.3除在招标文件的要求中另有规定外，投标文件计量单位应使用中华人民共和国法定计量单位。</w:t>
      </w:r>
    </w:p>
    <w:p w14:paraId="60E33F58">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14:paraId="70F35E4B">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8.投标文件的组成</w:t>
      </w:r>
    </w:p>
    <w:p w14:paraId="11AE755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8.1 投标文件包括商务部分和技术部分。</w:t>
      </w:r>
    </w:p>
    <w:p w14:paraId="5CA9609B">
      <w:pPr>
        <w:topLinePunct/>
        <w:autoSpaceDE w:val="0"/>
        <w:autoSpaceDN w:val="0"/>
        <w:adjustRightInd w:val="0"/>
        <w:snapToGrid w:val="0"/>
        <w:spacing w:line="360" w:lineRule="auto"/>
        <w:ind w:firstLine="428" w:firstLineChars="204"/>
        <w:rPr>
          <w:rFonts w:hint="eastAsia" w:ascii="宋体" w:hAnsi="宋体" w:eastAsia="宋体" w:cs="宋体"/>
          <w:szCs w:val="21"/>
        </w:rPr>
      </w:pPr>
      <w:r>
        <w:rPr>
          <w:rFonts w:hint="eastAsia" w:ascii="宋体" w:hAnsi="宋体" w:eastAsia="宋体" w:cs="宋体"/>
          <w:szCs w:val="21"/>
        </w:rPr>
        <w:t>8.2 投标文件</w:t>
      </w:r>
      <w:r>
        <w:rPr>
          <w:rFonts w:hint="eastAsia" w:ascii="宋体" w:hAnsi="宋体" w:eastAsia="宋体" w:cs="宋体"/>
          <w:b/>
          <w:bCs/>
          <w:szCs w:val="21"/>
        </w:rPr>
        <w:t>商务部分</w:t>
      </w:r>
      <w:r>
        <w:rPr>
          <w:rFonts w:hint="eastAsia" w:ascii="宋体" w:hAnsi="宋体" w:eastAsia="宋体" w:cs="宋体"/>
          <w:szCs w:val="21"/>
        </w:rPr>
        <w:t>主要包括的文件和资料：</w:t>
      </w:r>
    </w:p>
    <w:p w14:paraId="174E0726">
      <w:pPr>
        <w:topLinePunct/>
        <w:autoSpaceDE w:val="0"/>
        <w:autoSpaceDN w:val="0"/>
        <w:adjustRightInd w:val="0"/>
        <w:snapToGrid w:val="0"/>
        <w:spacing w:line="360" w:lineRule="auto"/>
        <w:ind w:firstLine="428" w:firstLineChars="204"/>
        <w:rPr>
          <w:rFonts w:hint="eastAsia" w:ascii="宋体" w:hAnsi="宋体" w:eastAsia="宋体" w:cs="宋体"/>
          <w:szCs w:val="21"/>
        </w:rPr>
      </w:pPr>
      <w:r>
        <w:rPr>
          <w:rFonts w:hint="eastAsia" w:ascii="宋体" w:hAnsi="宋体" w:eastAsia="宋体" w:cs="宋体"/>
          <w:szCs w:val="21"/>
        </w:rPr>
        <w:t>8.2.1 资格证明文件，见</w:t>
      </w:r>
      <w:r>
        <w:rPr>
          <w:rFonts w:hint="eastAsia" w:ascii="宋体" w:hAnsi="宋体" w:eastAsia="宋体" w:cs="宋体"/>
          <w:b/>
          <w:szCs w:val="21"/>
        </w:rPr>
        <w:t>投标人须知前附表。</w:t>
      </w:r>
    </w:p>
    <w:p w14:paraId="0BF559A7">
      <w:pPr>
        <w:overflowPunct w:val="0"/>
        <w:autoSpaceDE w:val="0"/>
        <w:autoSpaceDN w:val="0"/>
        <w:adjustRightInd w:val="0"/>
        <w:snapToGrid w:val="0"/>
        <w:spacing w:line="360" w:lineRule="auto"/>
        <w:ind w:firstLine="426" w:firstLineChars="203"/>
        <w:rPr>
          <w:rFonts w:hint="eastAsia" w:ascii="宋体" w:hAnsi="宋体" w:eastAsia="宋体" w:cs="宋体"/>
          <w:szCs w:val="21"/>
        </w:rPr>
      </w:pPr>
      <w:r>
        <w:rPr>
          <w:rFonts w:hint="eastAsia" w:ascii="宋体" w:hAnsi="宋体" w:eastAsia="宋体" w:cs="宋体"/>
          <w:szCs w:val="21"/>
        </w:rPr>
        <w:t>8.2.2 其他文件及资料，见</w:t>
      </w:r>
      <w:r>
        <w:rPr>
          <w:rFonts w:hint="eastAsia" w:ascii="宋体" w:hAnsi="宋体" w:eastAsia="宋体" w:cs="宋体"/>
          <w:b/>
          <w:szCs w:val="21"/>
        </w:rPr>
        <w:t>投标人须知前附表。</w:t>
      </w:r>
    </w:p>
    <w:p w14:paraId="69A87EFD">
      <w:pPr>
        <w:overflowPunct w:val="0"/>
        <w:autoSpaceDE w:val="0"/>
        <w:autoSpaceDN w:val="0"/>
        <w:adjustRightInd w:val="0"/>
        <w:snapToGrid w:val="0"/>
        <w:spacing w:line="360" w:lineRule="auto"/>
        <w:ind w:firstLine="426" w:firstLineChars="203"/>
        <w:rPr>
          <w:rFonts w:hint="eastAsia" w:ascii="宋体" w:hAnsi="宋体" w:eastAsia="宋体" w:cs="宋体"/>
          <w:szCs w:val="21"/>
        </w:rPr>
      </w:pPr>
      <w:r>
        <w:rPr>
          <w:rFonts w:hint="eastAsia" w:ascii="宋体" w:hAnsi="宋体" w:eastAsia="宋体" w:cs="宋体"/>
          <w:szCs w:val="21"/>
        </w:rPr>
        <w:t>8.3 投标文件</w:t>
      </w:r>
      <w:r>
        <w:rPr>
          <w:rFonts w:hint="eastAsia" w:ascii="宋体" w:hAnsi="宋体" w:eastAsia="宋体" w:cs="宋体"/>
          <w:b/>
          <w:bCs/>
          <w:szCs w:val="21"/>
        </w:rPr>
        <w:t>技术部分</w:t>
      </w:r>
      <w:r>
        <w:rPr>
          <w:rFonts w:hint="eastAsia" w:ascii="宋体" w:hAnsi="宋体" w:eastAsia="宋体" w:cs="宋体"/>
          <w:szCs w:val="21"/>
        </w:rPr>
        <w:t>主要包括的文件及资料，见</w:t>
      </w:r>
      <w:r>
        <w:rPr>
          <w:rFonts w:hint="eastAsia" w:ascii="宋体" w:hAnsi="宋体" w:eastAsia="宋体" w:cs="宋体"/>
          <w:b/>
          <w:szCs w:val="21"/>
        </w:rPr>
        <w:t>投标人须知前附表。</w:t>
      </w:r>
    </w:p>
    <w:p w14:paraId="3E5F3AE3">
      <w:pPr>
        <w:overflowPunct w:val="0"/>
        <w:autoSpaceDE w:val="0"/>
        <w:autoSpaceDN w:val="0"/>
        <w:adjustRightInd w:val="0"/>
        <w:snapToGrid w:val="0"/>
        <w:spacing w:line="360" w:lineRule="auto"/>
        <w:ind w:firstLine="426" w:firstLineChars="203"/>
        <w:rPr>
          <w:rFonts w:hint="eastAsia" w:ascii="宋体" w:hAnsi="宋体" w:eastAsia="宋体" w:cs="宋体"/>
          <w:szCs w:val="21"/>
        </w:rPr>
      </w:pPr>
      <w:r>
        <w:rPr>
          <w:rFonts w:hint="eastAsia" w:ascii="宋体" w:hAnsi="宋体" w:eastAsia="宋体" w:cs="宋体"/>
          <w:szCs w:val="21"/>
        </w:rPr>
        <w:t>8.4 证明资料如标明有效期的，必须在有效期内。</w:t>
      </w:r>
    </w:p>
    <w:p w14:paraId="0FE1C2BE">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9.报价要求</w:t>
      </w:r>
    </w:p>
    <w:p w14:paraId="31C348C5">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9.1 除招标文件另有规定外，投标应以人民币报价，线上采购项目还须按照投标工具的流程和提示编制并上传投标报价表。</w:t>
      </w:r>
    </w:p>
    <w:p w14:paraId="1F5B39DA">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9.2 本项目不接受任何形式的赠送、“零”报价和折扣报价。</w:t>
      </w:r>
    </w:p>
    <w:p w14:paraId="0562AD1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9.3 本项目以投标报价为依据计算价格分。投标报价应包括招标文件中要求投标人承担所有工作内容的全部费用。</w:t>
      </w:r>
    </w:p>
    <w:p w14:paraId="79B3FFA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263097">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9.5 最低报价不能作为中标的保证。</w:t>
      </w:r>
    </w:p>
    <w:p w14:paraId="6E0E321A">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10.投标文件的书写、密封、签署、盖章</w:t>
      </w:r>
    </w:p>
    <w:p w14:paraId="08F8A4B3">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10.1书写</w:t>
      </w:r>
    </w:p>
    <w:p w14:paraId="4D3A5CAC">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10.1.1投标文件应使用不能擦去的墨料或墨水打印、书写。</w:t>
      </w:r>
    </w:p>
    <w:p w14:paraId="5461B71E">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10.1.2投标文件内容应没有涂改或行间插字。若有前述改动，在改动处应由单位负责人（投标人代表）签字确认或加盖投标人的单位公章或校正章。</w:t>
      </w:r>
    </w:p>
    <w:p w14:paraId="690CFEB8">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10.2密封</w:t>
      </w:r>
    </w:p>
    <w:p w14:paraId="0F822915">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10.2.1投标文件应胶装或装订成册，避免材料散装、脱落。</w:t>
      </w:r>
    </w:p>
    <w:p w14:paraId="224C10B6">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6C3B0B0D">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10.3签署、盖章</w:t>
      </w:r>
    </w:p>
    <w:p w14:paraId="3DBAB20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10.3.1投标文件中要求签字处应由投标人的单位负责人（投标人代表）签字或加盖个人印章。</w:t>
      </w:r>
    </w:p>
    <w:p w14:paraId="5C068402">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10.3.2投标文件必须按照招标文件给出文件格式的签署要求进行签署。</w:t>
      </w:r>
    </w:p>
    <w:p w14:paraId="419BAE35">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10.3.3投标人在</w:t>
      </w:r>
      <w:r>
        <w:rPr>
          <w:rFonts w:hint="eastAsia" w:ascii="宋体" w:hAnsi="宋体" w:eastAsia="宋体" w:cs="宋体"/>
          <w:b/>
          <w:bCs/>
          <w:szCs w:val="21"/>
        </w:rPr>
        <w:t>“投标函”“法定代表人授权委托书”</w:t>
      </w:r>
      <w:r>
        <w:rPr>
          <w:rFonts w:hint="eastAsia" w:ascii="宋体" w:hAnsi="宋体" w:eastAsia="宋体" w:cs="宋体"/>
          <w:szCs w:val="21"/>
        </w:rPr>
        <w:t>上应当按格式要求加盖与投标人名称全称一致的标准公章，并按照招标文件第五章投标文件格式中的相应格式文件要求签署全名或加盖名章。</w:t>
      </w:r>
    </w:p>
    <w:p w14:paraId="5B3FF61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10.3.4投标文件中的“盖章”指加盖投标人的“公章”，而非“合同专用章”、“投标专用章”等其他非公章。</w:t>
      </w:r>
    </w:p>
    <w:p w14:paraId="12A7733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10.3.5线上采购项目可以使用电子签章。</w:t>
      </w:r>
    </w:p>
    <w:p w14:paraId="2C7CD3F9">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11</w:t>
      </w:r>
      <w:r>
        <w:rPr>
          <w:rFonts w:hint="eastAsia" w:ascii="宋体" w:hAnsi="宋体" w:eastAsia="宋体" w:cs="宋体"/>
          <w:szCs w:val="21"/>
        </w:rPr>
        <w:t>．</w:t>
      </w:r>
      <w:r>
        <w:rPr>
          <w:rFonts w:hint="eastAsia" w:ascii="宋体" w:hAnsi="宋体" w:eastAsia="宋体" w:cs="宋体"/>
          <w:b/>
          <w:szCs w:val="21"/>
        </w:rPr>
        <w:t>投标有效期</w:t>
      </w:r>
    </w:p>
    <w:p w14:paraId="7EC3AE0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 投标有效期见</w:t>
      </w:r>
      <w:r>
        <w:rPr>
          <w:rFonts w:hint="eastAsia" w:ascii="宋体" w:hAnsi="宋体" w:eastAsia="宋体" w:cs="宋体"/>
          <w:b/>
          <w:szCs w:val="21"/>
        </w:rPr>
        <w:t>投标人须知前附表</w:t>
      </w:r>
      <w:r>
        <w:rPr>
          <w:rFonts w:hint="eastAsia" w:ascii="宋体" w:hAnsi="宋体" w:eastAsia="宋体" w:cs="宋体"/>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011E6B0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11.2 特殊情况下，在原投标有效期期满之前，采购人或者采购代理机构可征得投标人同意延长投标有效期。</w:t>
      </w:r>
    </w:p>
    <w:p w14:paraId="50BC9F98">
      <w:pPr>
        <w:spacing w:line="360" w:lineRule="auto"/>
        <w:ind w:firstLine="422" w:firstLineChars="200"/>
        <w:jc w:val="center"/>
        <w:outlineLvl w:val="1"/>
        <w:rPr>
          <w:rFonts w:hint="eastAsia" w:ascii="宋体" w:hAnsi="宋体" w:eastAsia="宋体" w:cs="宋体"/>
          <w:b/>
          <w:bCs/>
        </w:rPr>
      </w:pPr>
      <w:bookmarkStart w:id="7" w:name="_Toc31111"/>
      <w:r>
        <w:rPr>
          <w:rFonts w:hint="eastAsia" w:ascii="宋体" w:hAnsi="宋体" w:eastAsia="宋体" w:cs="宋体"/>
          <w:b/>
          <w:bCs/>
        </w:rPr>
        <w:t>四、投标文件递交</w:t>
      </w:r>
      <w:bookmarkEnd w:id="7"/>
    </w:p>
    <w:p w14:paraId="5BF34CC1">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12</w:t>
      </w:r>
      <w:r>
        <w:rPr>
          <w:rFonts w:hint="eastAsia" w:ascii="宋体" w:hAnsi="宋体" w:eastAsia="宋体" w:cs="宋体"/>
          <w:szCs w:val="21"/>
        </w:rPr>
        <w:t>．</w:t>
      </w:r>
      <w:r>
        <w:rPr>
          <w:rFonts w:hint="eastAsia" w:ascii="宋体" w:hAnsi="宋体" w:eastAsia="宋体" w:cs="宋体"/>
          <w:b/>
          <w:szCs w:val="21"/>
        </w:rPr>
        <w:t>投标文件递交</w:t>
      </w:r>
    </w:p>
    <w:p w14:paraId="65F548E8">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12.1 投标人应当在</w:t>
      </w:r>
      <w:r>
        <w:rPr>
          <w:rFonts w:hint="eastAsia" w:ascii="宋体" w:hAnsi="宋体" w:eastAsia="宋体" w:cs="宋体"/>
          <w:b/>
          <w:szCs w:val="21"/>
        </w:rPr>
        <w:t>投标人须知前附表</w:t>
      </w:r>
      <w:r>
        <w:rPr>
          <w:rFonts w:hint="eastAsia" w:ascii="宋体" w:hAnsi="宋体" w:eastAsia="宋体" w:cs="宋体"/>
          <w:szCs w:val="21"/>
        </w:rPr>
        <w:t>要求提交投标文件截止时间前，根据《投标人须知前附表》载明方式提交投标文件。提交投标文件截止时间后，递交投标文件的投标将被拒绝。</w:t>
      </w:r>
    </w:p>
    <w:p w14:paraId="6823683D">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14:paraId="04732913">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13</w:t>
      </w:r>
      <w:r>
        <w:rPr>
          <w:rFonts w:hint="eastAsia" w:ascii="宋体" w:hAnsi="宋体" w:eastAsia="宋体" w:cs="宋体"/>
          <w:szCs w:val="21"/>
        </w:rPr>
        <w:t>．</w:t>
      </w:r>
      <w:r>
        <w:rPr>
          <w:rFonts w:hint="eastAsia" w:ascii="宋体" w:hAnsi="宋体" w:eastAsia="宋体" w:cs="宋体"/>
          <w:b/>
          <w:szCs w:val="21"/>
        </w:rPr>
        <w:t>投标文件补充、修改或撤回</w:t>
      </w:r>
    </w:p>
    <w:p w14:paraId="428B45C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2F35E84E">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13.2 线上采购项目，投标人在投标截止时间前，可以登录评审管理系统对所提交的投标文件进行撤回、补充、修改、重新提交。补充、修改的内容应当按照招标文件要求签署、盖章。</w:t>
      </w:r>
    </w:p>
    <w:p w14:paraId="6043E0ED">
      <w:pPr>
        <w:widowControl/>
        <w:topLinePunct/>
        <w:autoSpaceDE w:val="0"/>
        <w:autoSpaceDN w:val="0"/>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13.3 提交投标文件截止时间后，不支持对已提交的投标文件作任何补充、修改或者撤回。</w:t>
      </w:r>
    </w:p>
    <w:p w14:paraId="7D79F24B">
      <w:pPr>
        <w:spacing w:line="360" w:lineRule="auto"/>
        <w:ind w:firstLine="422" w:firstLineChars="200"/>
        <w:jc w:val="center"/>
        <w:outlineLvl w:val="1"/>
        <w:rPr>
          <w:rFonts w:hint="eastAsia" w:ascii="宋体" w:hAnsi="宋体" w:eastAsia="宋体" w:cs="宋体"/>
          <w:b/>
          <w:bCs/>
        </w:rPr>
      </w:pPr>
      <w:bookmarkStart w:id="8" w:name="_Toc1537"/>
      <w:r>
        <w:rPr>
          <w:rFonts w:hint="eastAsia" w:ascii="宋体" w:hAnsi="宋体" w:eastAsia="宋体" w:cs="宋体"/>
          <w:b/>
          <w:bCs/>
        </w:rPr>
        <w:t>五、开标与评标</w:t>
      </w:r>
      <w:bookmarkEnd w:id="8"/>
    </w:p>
    <w:p w14:paraId="441E632B">
      <w:pPr>
        <w:topLinePunct/>
        <w:autoSpaceDE w:val="0"/>
        <w:autoSpaceDN w:val="0"/>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14</w:t>
      </w:r>
      <w:r>
        <w:rPr>
          <w:rFonts w:hint="eastAsia" w:ascii="宋体" w:hAnsi="宋体" w:eastAsia="宋体" w:cs="宋体"/>
          <w:szCs w:val="21"/>
        </w:rPr>
        <w:t>．</w:t>
      </w:r>
      <w:r>
        <w:rPr>
          <w:rFonts w:hint="eastAsia" w:ascii="宋体" w:hAnsi="宋体" w:eastAsia="宋体" w:cs="宋体"/>
          <w:b/>
          <w:szCs w:val="21"/>
        </w:rPr>
        <w:t>开标</w:t>
      </w:r>
    </w:p>
    <w:p w14:paraId="6F432189">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14.1 开标在招标文件确定的提交投标文件截止时间的同一时间进行。开标地点详见</w:t>
      </w:r>
      <w:r>
        <w:rPr>
          <w:rFonts w:hint="eastAsia" w:ascii="宋体" w:hAnsi="宋体" w:eastAsia="宋体" w:cs="宋体"/>
          <w:b/>
          <w:szCs w:val="21"/>
        </w:rPr>
        <w:t>投标人须知前附表</w:t>
      </w:r>
      <w:r>
        <w:rPr>
          <w:rFonts w:hint="eastAsia" w:ascii="宋体" w:hAnsi="宋体" w:eastAsia="宋体" w:cs="宋体"/>
          <w:szCs w:val="21"/>
        </w:rPr>
        <w:t>。</w:t>
      </w:r>
    </w:p>
    <w:p w14:paraId="46FBB638">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14.2 开标由采购人或者采购代理机构主持，邀请投标人参加。评标委员会成员不得参加开标活动。</w:t>
      </w:r>
    </w:p>
    <w:p w14:paraId="5A9F9348">
      <w:pPr>
        <w:pStyle w:val="73"/>
        <w:widowControl w:val="0"/>
        <w:spacing w:line="360" w:lineRule="auto"/>
        <w:ind w:firstLine="420" w:firstLineChars="200"/>
        <w:rPr>
          <w:rFonts w:ascii="宋体" w:hAnsi="宋体" w:cs="宋体"/>
          <w:sz w:val="21"/>
          <w:szCs w:val="21"/>
        </w:rPr>
      </w:pPr>
      <w:r>
        <w:rPr>
          <w:rFonts w:ascii="宋体" w:hAnsi="宋体" w:cs="宋体"/>
          <w:sz w:val="21"/>
          <w:szCs w:val="21"/>
        </w:rPr>
        <w:t>14.3 开标时，由投标人或者其推选的代表检查投标文件的密封情况；经确认无误后，由采购人或者采购代理机构工作人员当众拆封，宣布投标人名称、投标价格和招标文件规定的需要宣布的其他内容。</w:t>
      </w:r>
    </w:p>
    <w:p w14:paraId="58149395">
      <w:pPr>
        <w:pStyle w:val="73"/>
        <w:widowControl w:val="0"/>
        <w:spacing w:line="360" w:lineRule="auto"/>
        <w:ind w:firstLine="420" w:firstLineChars="200"/>
        <w:rPr>
          <w:rFonts w:ascii="宋体" w:hAnsi="宋体" w:cs="宋体"/>
          <w:sz w:val="21"/>
          <w:szCs w:val="21"/>
        </w:rPr>
      </w:pPr>
      <w:r>
        <w:rPr>
          <w:rFonts w:ascii="宋体" w:hAnsi="宋体" w:cs="宋体"/>
          <w:sz w:val="21"/>
          <w:szCs w:val="21"/>
        </w:rPr>
        <w:t>14.4 开标过程由采购人或者采购代理机构负责记录，由参加开标的各投标人代表和相关工作人员签字确认后随采购文件一并存档。投标人未参加开标的，视同认可开标结果。</w:t>
      </w:r>
    </w:p>
    <w:p w14:paraId="20B01CA7">
      <w:pPr>
        <w:pStyle w:val="73"/>
        <w:widowControl w:val="0"/>
        <w:spacing w:line="360" w:lineRule="auto"/>
        <w:ind w:firstLine="420" w:firstLineChars="200"/>
        <w:rPr>
          <w:rFonts w:ascii="宋体" w:hAnsi="宋体" w:cs="宋体"/>
          <w:sz w:val="21"/>
          <w:szCs w:val="21"/>
        </w:rPr>
      </w:pPr>
      <w:r>
        <w:rPr>
          <w:rFonts w:ascii="宋体" w:hAnsi="宋体" w:cs="宋体"/>
          <w:sz w:val="21"/>
          <w:szCs w:val="21"/>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C501A37">
      <w:pPr>
        <w:pStyle w:val="73"/>
        <w:widowControl w:val="0"/>
        <w:spacing w:line="360" w:lineRule="auto"/>
        <w:ind w:firstLine="420" w:firstLineChars="200"/>
        <w:rPr>
          <w:rFonts w:ascii="宋体" w:hAnsi="宋体" w:cs="宋体"/>
          <w:sz w:val="21"/>
          <w:szCs w:val="21"/>
        </w:rPr>
      </w:pPr>
      <w:r>
        <w:rPr>
          <w:rFonts w:ascii="宋体" w:hAnsi="宋体" w:cs="宋体"/>
          <w:sz w:val="21"/>
          <w:szCs w:val="21"/>
        </w:rPr>
        <w:t>14.6 在政府采购活动中，采购人员及相关人员与投标人有下列利害关系之一的，应当回避：</w:t>
      </w:r>
    </w:p>
    <w:p w14:paraId="3C68CD57">
      <w:pPr>
        <w:pStyle w:val="73"/>
        <w:widowControl w:val="0"/>
        <w:spacing w:line="360" w:lineRule="auto"/>
        <w:ind w:firstLine="420" w:firstLineChars="200"/>
        <w:rPr>
          <w:rFonts w:ascii="宋体" w:hAnsi="宋体" w:cs="宋体"/>
          <w:sz w:val="21"/>
          <w:szCs w:val="21"/>
        </w:rPr>
      </w:pPr>
      <w:r>
        <w:rPr>
          <w:rFonts w:ascii="宋体" w:hAnsi="宋体" w:cs="宋体"/>
          <w:sz w:val="21"/>
          <w:szCs w:val="21"/>
        </w:rPr>
        <w:t>（1）参加采购活动前3年内与投标人存在劳动关系；</w:t>
      </w:r>
    </w:p>
    <w:p w14:paraId="29FC2E53">
      <w:pPr>
        <w:pStyle w:val="73"/>
        <w:widowControl w:val="0"/>
        <w:spacing w:line="360" w:lineRule="auto"/>
        <w:ind w:firstLine="420" w:firstLineChars="200"/>
        <w:rPr>
          <w:rFonts w:ascii="宋体" w:hAnsi="宋体" w:cs="宋体"/>
          <w:sz w:val="21"/>
          <w:szCs w:val="21"/>
        </w:rPr>
      </w:pPr>
      <w:r>
        <w:rPr>
          <w:rFonts w:ascii="宋体" w:hAnsi="宋体" w:cs="宋体"/>
          <w:sz w:val="21"/>
          <w:szCs w:val="21"/>
        </w:rPr>
        <w:t>（2）参加采购活动前3年内担任投标人的董事、监事；</w:t>
      </w:r>
    </w:p>
    <w:p w14:paraId="42F003EC">
      <w:pPr>
        <w:pStyle w:val="73"/>
        <w:widowControl w:val="0"/>
        <w:spacing w:line="360" w:lineRule="auto"/>
        <w:ind w:firstLine="420" w:firstLineChars="200"/>
        <w:rPr>
          <w:rFonts w:ascii="宋体" w:hAnsi="宋体" w:cs="宋体"/>
          <w:sz w:val="21"/>
          <w:szCs w:val="21"/>
        </w:rPr>
      </w:pPr>
      <w:r>
        <w:rPr>
          <w:rFonts w:ascii="宋体" w:hAnsi="宋体" w:cs="宋体"/>
          <w:sz w:val="21"/>
          <w:szCs w:val="21"/>
        </w:rPr>
        <w:t>（3）参加采购活动前3年内是投标人的控股股东或者实际控制人；</w:t>
      </w:r>
    </w:p>
    <w:p w14:paraId="6083FBA6">
      <w:pPr>
        <w:pStyle w:val="73"/>
        <w:widowControl w:val="0"/>
        <w:spacing w:line="360" w:lineRule="auto"/>
        <w:ind w:firstLine="420" w:firstLineChars="200"/>
        <w:rPr>
          <w:rFonts w:ascii="宋体" w:hAnsi="宋体" w:cs="宋体"/>
          <w:sz w:val="21"/>
          <w:szCs w:val="21"/>
        </w:rPr>
      </w:pPr>
      <w:r>
        <w:rPr>
          <w:rFonts w:ascii="宋体" w:hAnsi="宋体" w:cs="宋体"/>
          <w:sz w:val="21"/>
          <w:szCs w:val="21"/>
        </w:rPr>
        <w:t>（4）与投标人的法定代表人或者负责人有夫妻、直系血亲、三代以内旁系血亲或者近姻亲关系；</w:t>
      </w:r>
    </w:p>
    <w:p w14:paraId="7EBB8F84">
      <w:pPr>
        <w:pStyle w:val="73"/>
        <w:widowControl w:val="0"/>
        <w:spacing w:line="360" w:lineRule="auto"/>
        <w:ind w:firstLine="420" w:firstLineChars="200"/>
        <w:rPr>
          <w:rFonts w:ascii="宋体" w:hAnsi="宋体" w:cs="宋体"/>
          <w:sz w:val="21"/>
          <w:szCs w:val="21"/>
        </w:rPr>
      </w:pPr>
      <w:r>
        <w:rPr>
          <w:rFonts w:ascii="宋体" w:hAnsi="宋体" w:cs="宋体"/>
          <w:sz w:val="21"/>
          <w:szCs w:val="21"/>
        </w:rPr>
        <w:t>（5）与投标人有其他可能影响政府采购活动公平、公正进行的关系。</w:t>
      </w:r>
    </w:p>
    <w:p w14:paraId="4D947076">
      <w:pPr>
        <w:pStyle w:val="73"/>
        <w:widowControl w:val="0"/>
        <w:spacing w:line="360" w:lineRule="auto"/>
        <w:ind w:firstLine="420" w:firstLineChars="200"/>
        <w:rPr>
          <w:rFonts w:ascii="宋体" w:hAnsi="宋体" w:cs="宋体"/>
          <w:sz w:val="21"/>
          <w:szCs w:val="21"/>
        </w:rPr>
      </w:pPr>
      <w:r>
        <w:rPr>
          <w:rFonts w:ascii="宋体" w:hAnsi="宋体" w:cs="宋体"/>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4BF402A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14.7 对线上采购项目，采购人或者采购代理机构将在</w:t>
      </w:r>
      <w:r>
        <w:rPr>
          <w:rFonts w:hint="eastAsia" w:ascii="宋体" w:hAnsi="宋体" w:eastAsia="宋体" w:cs="宋体"/>
          <w:b/>
          <w:szCs w:val="21"/>
        </w:rPr>
        <w:t>投标人须知前附表</w:t>
      </w:r>
      <w:r>
        <w:rPr>
          <w:rFonts w:hint="eastAsia" w:ascii="宋体" w:hAnsi="宋体" w:eastAsia="宋体" w:cs="宋体"/>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14:paraId="76BB1849">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15</w:t>
      </w:r>
      <w:r>
        <w:rPr>
          <w:rFonts w:hint="eastAsia" w:ascii="宋体" w:hAnsi="宋体" w:eastAsia="宋体" w:cs="宋体"/>
          <w:szCs w:val="21"/>
        </w:rPr>
        <w:t>．</w:t>
      </w:r>
      <w:r>
        <w:rPr>
          <w:rFonts w:hint="eastAsia" w:ascii="宋体" w:hAnsi="宋体" w:eastAsia="宋体" w:cs="宋体"/>
          <w:b/>
          <w:szCs w:val="21"/>
        </w:rPr>
        <w:t>投标资格审查</w:t>
      </w:r>
    </w:p>
    <w:p w14:paraId="67841DE6">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15.1 公开招标采购项目开标结束后，由采购人或者采购代理机构依法对投标人的资格进行审查，以确定投标人是否具备投标资格。</w:t>
      </w:r>
    </w:p>
    <w:p w14:paraId="0B3165B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15.1.1 审查投标人按照8.2.1提交的</w:t>
      </w:r>
      <w:r>
        <w:rPr>
          <w:rFonts w:hint="eastAsia" w:ascii="宋体" w:hAnsi="宋体" w:eastAsia="宋体" w:cs="宋体"/>
          <w:b/>
          <w:szCs w:val="21"/>
        </w:rPr>
        <w:t>“资格证明文件”</w:t>
      </w:r>
      <w:r>
        <w:rPr>
          <w:rFonts w:hint="eastAsia" w:ascii="宋体" w:hAnsi="宋体" w:eastAsia="宋体" w:cs="宋体"/>
          <w:szCs w:val="21"/>
        </w:rPr>
        <w:t>。</w:t>
      </w:r>
    </w:p>
    <w:p w14:paraId="0CD38940">
      <w:pPr>
        <w:topLinePunct/>
        <w:autoSpaceDE w:val="0"/>
        <w:autoSpaceDN w:val="0"/>
        <w:adjustRightInd w:val="0"/>
        <w:snapToGrid w:val="0"/>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15.1.2 信用记录审查。</w:t>
      </w:r>
      <w:r>
        <w:rPr>
          <w:rFonts w:hint="eastAsia" w:ascii="宋体" w:hAnsi="宋体" w:eastAsia="宋体" w:cs="宋体"/>
          <w:b/>
          <w:bCs/>
          <w:szCs w:val="21"/>
        </w:rPr>
        <w:t>见投标人须知前附表。</w:t>
      </w:r>
    </w:p>
    <w:p w14:paraId="0091973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15.2 未通过资格审查的投标人，其投标无效。</w:t>
      </w:r>
    </w:p>
    <w:p w14:paraId="2D2AB17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15.3 合格投标人不足3家的，不得评标。</w:t>
      </w:r>
    </w:p>
    <w:p w14:paraId="09AFA202">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16</w:t>
      </w:r>
      <w:r>
        <w:rPr>
          <w:rFonts w:hint="eastAsia" w:ascii="宋体" w:hAnsi="宋体" w:eastAsia="宋体" w:cs="宋体"/>
          <w:szCs w:val="21"/>
        </w:rPr>
        <w:t>．</w:t>
      </w:r>
      <w:r>
        <w:rPr>
          <w:rFonts w:hint="eastAsia" w:ascii="宋体" w:hAnsi="宋体" w:eastAsia="宋体" w:cs="宋体"/>
          <w:b/>
          <w:szCs w:val="21"/>
        </w:rPr>
        <w:t>评标委员会的组成</w:t>
      </w:r>
    </w:p>
    <w:p w14:paraId="3EBC2C8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16.1 采购人或者采购代理机构根据有关法律法规规定组建评标委员会，评标委员会由采购人代表和评审专家组成。</w:t>
      </w:r>
    </w:p>
    <w:p w14:paraId="7D283717">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17</w:t>
      </w:r>
      <w:r>
        <w:rPr>
          <w:rFonts w:hint="eastAsia" w:ascii="宋体" w:hAnsi="宋体" w:eastAsia="宋体" w:cs="宋体"/>
          <w:szCs w:val="21"/>
        </w:rPr>
        <w:t>．</w:t>
      </w:r>
      <w:r>
        <w:rPr>
          <w:rFonts w:hint="eastAsia" w:ascii="宋体" w:hAnsi="宋体" w:eastAsia="宋体" w:cs="宋体"/>
          <w:b/>
          <w:szCs w:val="21"/>
        </w:rPr>
        <w:t>投标符合性审查</w:t>
      </w:r>
    </w:p>
    <w:p w14:paraId="57FFAA7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17.1 评标委员会对符合资格的投标人的投标文件进行符合性审查，以确定其是否符合招标文件的商务、技术等实质性要求。</w:t>
      </w:r>
    </w:p>
    <w:p w14:paraId="0E1374A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17.2 未通过符合性审查的投标人，其投标无效。</w:t>
      </w:r>
    </w:p>
    <w:p w14:paraId="6C1CE7AE">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17.3 通过符合性审查的投标人不足3家的，应予以废标。</w:t>
      </w:r>
    </w:p>
    <w:p w14:paraId="179C573F">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18</w:t>
      </w:r>
      <w:r>
        <w:rPr>
          <w:rFonts w:hint="eastAsia" w:ascii="宋体" w:hAnsi="宋体" w:eastAsia="宋体" w:cs="宋体"/>
          <w:szCs w:val="21"/>
        </w:rPr>
        <w:t>．</w:t>
      </w:r>
      <w:r>
        <w:rPr>
          <w:rFonts w:hint="eastAsia" w:ascii="宋体" w:hAnsi="宋体" w:eastAsia="宋体" w:cs="宋体"/>
          <w:b/>
          <w:szCs w:val="21"/>
        </w:rPr>
        <w:t>投标文件的澄清</w:t>
      </w:r>
    </w:p>
    <w:p w14:paraId="15E8D1C5">
      <w:pPr>
        <w:pStyle w:val="73"/>
        <w:widowControl w:val="0"/>
        <w:spacing w:line="360" w:lineRule="auto"/>
        <w:ind w:firstLine="420" w:firstLineChars="200"/>
        <w:rPr>
          <w:rFonts w:ascii="宋体" w:hAnsi="宋体" w:cs="宋体"/>
          <w:sz w:val="21"/>
          <w:szCs w:val="21"/>
        </w:rPr>
      </w:pPr>
      <w:r>
        <w:rPr>
          <w:rFonts w:ascii="宋体" w:hAnsi="宋体" w:cs="宋体"/>
          <w:sz w:val="21"/>
          <w:szCs w:val="21"/>
        </w:rPr>
        <w:t>18.1对于投标文件中含义不明确、同类问题表述不一致或者有明显文字和计算错误的内容，评标委员会应当以书面形式要求投标人作出必要的澄清、说明或者补正。</w:t>
      </w:r>
    </w:p>
    <w:p w14:paraId="1EF2E8EC">
      <w:pPr>
        <w:pStyle w:val="73"/>
        <w:widowControl w:val="0"/>
        <w:spacing w:line="360" w:lineRule="auto"/>
        <w:ind w:firstLine="420" w:firstLineChars="200"/>
        <w:rPr>
          <w:rFonts w:ascii="宋体" w:hAnsi="宋体" w:cs="宋体"/>
          <w:sz w:val="21"/>
          <w:szCs w:val="21"/>
        </w:rPr>
      </w:pPr>
      <w:r>
        <w:rPr>
          <w:rFonts w:ascii="宋体" w:hAnsi="宋体" w:cs="宋体"/>
          <w:sz w:val="21"/>
          <w:szCs w:val="21"/>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14:paraId="345BAC26">
      <w:pPr>
        <w:pStyle w:val="73"/>
        <w:widowControl w:val="0"/>
        <w:spacing w:line="360" w:lineRule="auto"/>
        <w:ind w:firstLine="420" w:firstLineChars="200"/>
        <w:rPr>
          <w:rFonts w:ascii="宋体" w:hAnsi="宋体" w:cs="宋体"/>
          <w:sz w:val="21"/>
          <w:szCs w:val="21"/>
        </w:rPr>
      </w:pPr>
      <w:r>
        <w:rPr>
          <w:rFonts w:ascii="宋体" w:hAnsi="宋体" w:cs="宋体"/>
          <w:sz w:val="21"/>
          <w:szCs w:val="21"/>
        </w:rPr>
        <w:t>18.3关于投标描述（即投标文件中描述的内容）</w:t>
      </w:r>
    </w:p>
    <w:p w14:paraId="1DC9B953">
      <w:pPr>
        <w:pStyle w:val="73"/>
        <w:widowControl w:val="0"/>
        <w:spacing w:line="360" w:lineRule="auto"/>
        <w:ind w:firstLine="420" w:firstLineChars="200"/>
        <w:rPr>
          <w:rFonts w:ascii="宋体" w:hAnsi="宋体" w:cs="宋体"/>
          <w:sz w:val="21"/>
          <w:szCs w:val="21"/>
        </w:rPr>
      </w:pPr>
      <w:r>
        <w:rPr>
          <w:rFonts w:ascii="宋体" w:hAnsi="宋体" w:cs="宋体"/>
          <w:sz w:val="21"/>
          <w:szCs w:val="21"/>
        </w:rPr>
        <w:t>（1）投标描述前后不一致且不涉及证明材料的：按照本节第18.1条规定执行。</w:t>
      </w:r>
    </w:p>
    <w:p w14:paraId="7B843C0D">
      <w:pPr>
        <w:pStyle w:val="73"/>
        <w:widowControl w:val="0"/>
        <w:spacing w:line="360" w:lineRule="auto"/>
        <w:ind w:firstLine="420" w:firstLineChars="200"/>
        <w:rPr>
          <w:rFonts w:ascii="宋体" w:hAnsi="宋体" w:cs="宋体"/>
          <w:sz w:val="21"/>
          <w:szCs w:val="21"/>
        </w:rPr>
      </w:pPr>
      <w:r>
        <w:rPr>
          <w:rFonts w:ascii="宋体" w:hAnsi="宋体" w:cs="宋体"/>
          <w:sz w:val="21"/>
          <w:szCs w:val="21"/>
        </w:rPr>
        <w:t>（2）投标描述与证明材料不一致或多份证明材料之间不一致的：</w:t>
      </w:r>
    </w:p>
    <w:p w14:paraId="7800BCFC">
      <w:pPr>
        <w:pStyle w:val="73"/>
        <w:widowControl w:val="0"/>
        <w:spacing w:line="360" w:lineRule="auto"/>
        <w:ind w:firstLine="420" w:firstLineChars="200"/>
        <w:rPr>
          <w:rFonts w:ascii="宋体" w:hAnsi="宋体" w:cs="宋体"/>
          <w:sz w:val="21"/>
          <w:szCs w:val="21"/>
        </w:rPr>
      </w:pPr>
      <w:r>
        <w:rPr>
          <w:rFonts w:ascii="宋体" w:hAnsi="宋体" w:cs="宋体"/>
          <w:sz w:val="21"/>
          <w:szCs w:val="21"/>
        </w:rPr>
        <w:t>①评标委员会将要求投标人进行书面澄清，无法澄清的将按照不利于投标人的内容进行评标。</w:t>
      </w:r>
    </w:p>
    <w:p w14:paraId="236A399F">
      <w:pPr>
        <w:pStyle w:val="73"/>
        <w:widowControl w:val="0"/>
        <w:spacing w:line="360" w:lineRule="auto"/>
        <w:ind w:firstLine="420" w:firstLineChars="200"/>
        <w:rPr>
          <w:rFonts w:ascii="宋体" w:hAnsi="宋体" w:cs="宋体"/>
          <w:sz w:val="21"/>
          <w:szCs w:val="21"/>
        </w:rPr>
      </w:pPr>
      <w:r>
        <w:rPr>
          <w:rFonts w:ascii="宋体" w:hAnsi="宋体" w:cs="宋体"/>
          <w:sz w:val="21"/>
          <w:szCs w:val="21"/>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729ADF7">
      <w:pPr>
        <w:pStyle w:val="73"/>
        <w:widowControl w:val="0"/>
        <w:spacing w:line="360" w:lineRule="auto"/>
        <w:ind w:firstLine="420" w:firstLineChars="200"/>
        <w:rPr>
          <w:rFonts w:ascii="宋体" w:hAnsi="宋体" w:cs="宋体"/>
          <w:sz w:val="21"/>
          <w:szCs w:val="21"/>
        </w:rPr>
      </w:pPr>
      <w:r>
        <w:rPr>
          <w:rFonts w:ascii="宋体" w:hAnsi="宋体" w:cs="宋体"/>
          <w:sz w:val="21"/>
          <w:szCs w:val="21"/>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D541AC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18.4 除评标委员会要求投标人做出的澄清、说明或者补正以外，评标委员会不接受投标人的任何询问、说明、更改及文件。</w:t>
      </w:r>
    </w:p>
    <w:p w14:paraId="6655A9DE">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18.5 投标人的澄清必须在规定的时间内提交。</w:t>
      </w:r>
    </w:p>
    <w:p w14:paraId="552FD7E8">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19</w:t>
      </w:r>
      <w:r>
        <w:rPr>
          <w:rFonts w:hint="eastAsia" w:ascii="宋体" w:hAnsi="宋体" w:eastAsia="宋体" w:cs="宋体"/>
          <w:szCs w:val="21"/>
        </w:rPr>
        <w:t>．</w:t>
      </w:r>
      <w:r>
        <w:rPr>
          <w:rFonts w:hint="eastAsia" w:ascii="宋体" w:hAnsi="宋体" w:eastAsia="宋体" w:cs="宋体"/>
          <w:b/>
          <w:szCs w:val="21"/>
        </w:rPr>
        <w:t>核价原则</w:t>
      </w:r>
    </w:p>
    <w:p w14:paraId="3DDADE09">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 xml:space="preserve">19.1 </w:t>
      </w:r>
      <w:r>
        <w:rPr>
          <w:rFonts w:hint="eastAsia" w:ascii="宋体" w:hAnsi="宋体" w:eastAsia="宋体" w:cs="宋体"/>
          <w:szCs w:val="21"/>
        </w:rPr>
        <w:t>投标文件报价出现前后不一致的，除招标文件另有规定外，按照下列规定修正：</w:t>
      </w:r>
    </w:p>
    <w:p w14:paraId="60044C40">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（1）投标文件中开标一览表（总报价表）内容与投标文件中相应内容不一致的，以开标一览表（总报价表）为准；</w:t>
      </w:r>
    </w:p>
    <w:p w14:paraId="70A51320">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7A9C8ED9">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5FB778B2">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69DD1EDF">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（5）同时出现两种以上不一致的，按照前款规定的顺序修正。修正后的报价按照18.2条的规定经投标人确认后产生约束力，投标人不确认的，其投标无效。</w:t>
      </w:r>
    </w:p>
    <w:p w14:paraId="03E48C29">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20</w:t>
      </w:r>
      <w:r>
        <w:rPr>
          <w:rFonts w:hint="eastAsia" w:ascii="宋体" w:hAnsi="宋体" w:eastAsia="宋体" w:cs="宋体"/>
          <w:szCs w:val="21"/>
        </w:rPr>
        <w:t>．</w:t>
      </w:r>
      <w:r>
        <w:rPr>
          <w:rFonts w:hint="eastAsia" w:ascii="宋体" w:hAnsi="宋体" w:eastAsia="宋体" w:cs="宋体"/>
          <w:b/>
          <w:szCs w:val="21"/>
        </w:rPr>
        <w:t>投标无效</w:t>
      </w:r>
    </w:p>
    <w:p w14:paraId="0FB69B5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20.1 投标人及投标文件有下列情况之一的，应当在资格审查时按照投标无效处理：</w:t>
      </w:r>
    </w:p>
    <w:p w14:paraId="72EC159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不具备招标文件中规定的资格要求的；</w:t>
      </w:r>
    </w:p>
    <w:p w14:paraId="3918D01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投标文件组成中“资格证明文件”未提供或无效的；</w:t>
      </w:r>
    </w:p>
    <w:p w14:paraId="1671BB0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未通过信用记录审查或未提供相关证明材料的。</w:t>
      </w:r>
    </w:p>
    <w:p w14:paraId="3E2980D4">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20.2 投标人及投标文件有下列情况之一的，应当在符合性审查时按照投标无效处理：</w:t>
      </w:r>
    </w:p>
    <w:p w14:paraId="5A944E8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投标文件组成中除“资格证明文件”外，★条款相关文件及资料未提供或提供无效的；</w:t>
      </w:r>
    </w:p>
    <w:p w14:paraId="526207EA">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投标文件未按招标文件要求签署、盖章的；</w:t>
      </w:r>
    </w:p>
    <w:p w14:paraId="69D393FD">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投标报价超过招标文件中规定的预算金额或者最高限价的；</w:t>
      </w:r>
    </w:p>
    <w:p w14:paraId="62DE298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 投标有效期不足的；</w:t>
      </w:r>
    </w:p>
    <w:p w14:paraId="35519DC9">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 投标文件含有采购人不能接受的附加条件的；</w:t>
      </w:r>
    </w:p>
    <w:p w14:paraId="09A62F8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20.3 除20.1及20.2情形外，投标人及投标文件有下列情况之一的，应当按照投标无效处理：</w:t>
      </w:r>
    </w:p>
    <w:p w14:paraId="267E34F8">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提供虚假投标文件材料的；</w:t>
      </w:r>
    </w:p>
    <w:p w14:paraId="5052F8D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投标人串通投标的；</w:t>
      </w:r>
    </w:p>
    <w:p w14:paraId="0F19ACC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投标报价明显低于其他通过符合性审查投标人的报价，且不能证明其报价合理性的。</w:t>
      </w:r>
    </w:p>
    <w:p w14:paraId="2B959146">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 法律、法规和招标文件规定的其他无效情形。</w:t>
      </w:r>
    </w:p>
    <w:p w14:paraId="6C579ADA">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21</w:t>
      </w:r>
      <w:r>
        <w:rPr>
          <w:rFonts w:hint="eastAsia" w:ascii="宋体" w:hAnsi="宋体" w:eastAsia="宋体" w:cs="宋体"/>
          <w:szCs w:val="21"/>
        </w:rPr>
        <w:t>．</w:t>
      </w:r>
      <w:r>
        <w:rPr>
          <w:rFonts w:hint="eastAsia" w:ascii="宋体" w:hAnsi="宋体" w:eastAsia="宋体" w:cs="宋体"/>
          <w:b/>
          <w:szCs w:val="21"/>
        </w:rPr>
        <w:t>比较与评价</w:t>
      </w:r>
    </w:p>
    <w:p w14:paraId="4E83D80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21.1 评标委员会按照招标文件中规定的评标方法和标准，对符合性审查合格的投标文件进行商务和技术评估，综合比较与评价。</w:t>
      </w:r>
    </w:p>
    <w:p w14:paraId="5AA8FF9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21.2 价格分应当采用低价优先法计算。小型、微型企业和监狱企业、残疾人福利性单位的投标报价按照</w:t>
      </w:r>
      <w:r>
        <w:rPr>
          <w:rFonts w:hint="eastAsia" w:ascii="宋体" w:hAnsi="宋体" w:eastAsia="宋体" w:cs="宋体"/>
          <w:b/>
          <w:szCs w:val="21"/>
        </w:rPr>
        <w:t>投标人须知前附表</w:t>
      </w:r>
      <w:r>
        <w:rPr>
          <w:rFonts w:hint="eastAsia" w:ascii="宋体" w:hAnsi="宋体" w:eastAsia="宋体" w:cs="宋体"/>
          <w:szCs w:val="21"/>
        </w:rPr>
        <w:t>规定，分别给予扣除，并以扣除后的报价计算价格分。未提供《中小型企业声明函》、《监狱企业证明文件》、《残疾人福利性单位声明函》的，价格不予扣除。同一投标人不得重复享受价格扣除政策。</w:t>
      </w:r>
    </w:p>
    <w:p w14:paraId="2E16543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21.3 评标委员会各成员独立对每个投标人的投标文件进行评价，并汇总得出每个投标人的评审得分。</w:t>
      </w:r>
    </w:p>
    <w:p w14:paraId="1CB77B6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88CC03">
      <w:pPr>
        <w:topLinePunct/>
        <w:autoSpaceDE w:val="0"/>
        <w:autoSpaceDN w:val="0"/>
        <w:adjustRightInd w:val="0"/>
        <w:snapToGrid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21.5 评标方法及标准</w:t>
      </w:r>
      <w:r>
        <w:rPr>
          <w:rFonts w:hint="eastAsia" w:ascii="宋体" w:hAnsi="宋体" w:eastAsia="宋体" w:cs="宋体"/>
          <w:b/>
          <w:szCs w:val="21"/>
        </w:rPr>
        <w:t>详见招标文件商务部分第三章。</w:t>
      </w:r>
    </w:p>
    <w:p w14:paraId="678FAAD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32CFDBBC">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22</w:t>
      </w:r>
      <w:r>
        <w:rPr>
          <w:rFonts w:hint="eastAsia" w:ascii="宋体" w:hAnsi="宋体" w:eastAsia="宋体" w:cs="宋体"/>
          <w:szCs w:val="21"/>
        </w:rPr>
        <w:t>．</w:t>
      </w:r>
      <w:r>
        <w:rPr>
          <w:rFonts w:hint="eastAsia" w:ascii="宋体" w:hAnsi="宋体" w:eastAsia="宋体" w:cs="宋体"/>
          <w:b/>
          <w:szCs w:val="21"/>
        </w:rPr>
        <w:t>废标</w:t>
      </w:r>
    </w:p>
    <w:p w14:paraId="58755B74">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22.1 在招标采购中，出现下列情形之一的，应予废标：</w:t>
      </w:r>
    </w:p>
    <w:p w14:paraId="74C1CC3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（1）符合专业条件的供应商或者对招标文件作实质响应的供应商不足三家的；</w:t>
      </w:r>
    </w:p>
    <w:p w14:paraId="1AE04918">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（2）出现影响采购公正的违法、违规行为的；</w:t>
      </w:r>
    </w:p>
    <w:p w14:paraId="26CA52A6">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（3）投标人的报价均超过了采购预算，采购人不能支付的；</w:t>
      </w:r>
    </w:p>
    <w:p w14:paraId="12C6B25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（4）因重大变故，采购任务取消的。</w:t>
      </w:r>
    </w:p>
    <w:p w14:paraId="45E7FB3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22.2 废标后，采购人或者采购代理机构将废标理由通知所有投标人。</w:t>
      </w:r>
    </w:p>
    <w:p w14:paraId="06244167">
      <w:pPr>
        <w:spacing w:line="360" w:lineRule="auto"/>
        <w:ind w:firstLine="422" w:firstLineChars="200"/>
        <w:jc w:val="center"/>
        <w:outlineLvl w:val="1"/>
        <w:rPr>
          <w:rFonts w:hint="eastAsia" w:ascii="宋体" w:hAnsi="宋体" w:eastAsia="宋体" w:cs="宋体"/>
          <w:b/>
          <w:bCs/>
        </w:rPr>
      </w:pPr>
      <w:bookmarkStart w:id="9" w:name="_Toc22690"/>
      <w:r>
        <w:rPr>
          <w:rFonts w:hint="eastAsia" w:ascii="宋体" w:hAnsi="宋体" w:eastAsia="宋体" w:cs="宋体"/>
          <w:b/>
          <w:bCs/>
        </w:rPr>
        <w:t>六、中标和合同</w:t>
      </w:r>
      <w:bookmarkEnd w:id="9"/>
    </w:p>
    <w:p w14:paraId="18A39BBE">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23</w:t>
      </w:r>
      <w:r>
        <w:rPr>
          <w:rFonts w:hint="eastAsia" w:ascii="宋体" w:hAnsi="宋体" w:eastAsia="宋体" w:cs="宋体"/>
          <w:szCs w:val="21"/>
        </w:rPr>
        <w:t>．</w:t>
      </w:r>
      <w:r>
        <w:rPr>
          <w:rFonts w:hint="eastAsia" w:ascii="宋体" w:hAnsi="宋体" w:eastAsia="宋体" w:cs="宋体"/>
          <w:b/>
          <w:szCs w:val="21"/>
        </w:rPr>
        <w:t>中标</w:t>
      </w:r>
    </w:p>
    <w:p w14:paraId="34E2B84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817D40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采购人自行组织招标的，采购人应当在评标结束后5个工作日内，按评标报告推荐的中标候选人顺序确定中标人。</w:t>
      </w:r>
    </w:p>
    <w:p w14:paraId="4504E0C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23.2 采购人或者采购代理机构应当自中标人确定之日起2个工作日内，在</w:t>
      </w:r>
      <w:r>
        <w:rPr>
          <w:rFonts w:hint="eastAsia" w:ascii="宋体" w:hAnsi="宋体" w:eastAsia="宋体" w:cs="宋体"/>
          <w:b/>
          <w:szCs w:val="21"/>
        </w:rPr>
        <w:t>投标人须知前附表</w:t>
      </w:r>
      <w:r>
        <w:rPr>
          <w:rFonts w:hint="eastAsia" w:ascii="宋体" w:hAnsi="宋体" w:eastAsia="宋体" w:cs="宋体"/>
          <w:szCs w:val="21"/>
        </w:rPr>
        <w:t>规定的媒体上公告中标结果，招标文件应随中标结果同时公告。中标公告期限为1个工作日。</w:t>
      </w:r>
    </w:p>
    <w:p w14:paraId="1724235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14:paraId="3788664B">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23.4 中标通知书发出后，采购人或者采购代理机构不得违法改变中标结果，中标人无正当理由不得放弃中标。</w:t>
      </w:r>
    </w:p>
    <w:p w14:paraId="6E72D3FE">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23.5 中标通知书对采购人和中标人具有同等法律效力。</w:t>
      </w:r>
    </w:p>
    <w:p w14:paraId="10D8EDC1">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24</w:t>
      </w:r>
      <w:r>
        <w:rPr>
          <w:rFonts w:hint="eastAsia" w:ascii="宋体" w:hAnsi="宋体" w:eastAsia="宋体" w:cs="宋体"/>
          <w:szCs w:val="21"/>
        </w:rPr>
        <w:t>．</w:t>
      </w:r>
      <w:r>
        <w:rPr>
          <w:rFonts w:hint="eastAsia" w:ascii="宋体" w:hAnsi="宋体" w:eastAsia="宋体" w:cs="宋体"/>
          <w:b/>
          <w:szCs w:val="21"/>
        </w:rPr>
        <w:t>签订合同</w:t>
      </w:r>
    </w:p>
    <w:p w14:paraId="4B8DC795">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24.1 采购人应当自中标通知书发出之日起30日内，按照招标文件和中标人投标文件的规定，与中标人签订合同。若为</w:t>
      </w:r>
      <w:r>
        <w:rPr>
          <w:rFonts w:hint="eastAsia" w:ascii="宋体" w:hAnsi="宋体" w:eastAsia="宋体" w:cs="宋体"/>
          <w:szCs w:val="21"/>
          <w:u w:val="single"/>
        </w:rPr>
        <w:t>线上采购项目可通过评审管理系统签订合同</w:t>
      </w:r>
      <w:r>
        <w:rPr>
          <w:rFonts w:hint="eastAsia" w:ascii="宋体" w:hAnsi="宋体" w:eastAsia="宋体" w:cs="宋体"/>
          <w:szCs w:val="21"/>
        </w:rPr>
        <w:t>。</w:t>
      </w:r>
    </w:p>
    <w:p w14:paraId="3E525B0E">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24.2 所签订的合同不得对招标文件确定的事项和中标人投标文件作实质性修改。</w:t>
      </w:r>
    </w:p>
    <w:p w14:paraId="3A08CF2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24.3 采购人不得向中标人提出任何不合理的要求作为签订合同的条件。</w:t>
      </w:r>
    </w:p>
    <w:p w14:paraId="2BC3F50E">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24.4 中标人拒绝与采购人签订合同的，采购人可以按照评审报告推荐的中标候选人名单排序，确定下一候选人为中标人，也可以重新开展政府采购活动。</w:t>
      </w:r>
    </w:p>
    <w:p w14:paraId="5A77BF7E">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25</w:t>
      </w:r>
      <w:r>
        <w:rPr>
          <w:rFonts w:hint="eastAsia" w:ascii="宋体" w:hAnsi="宋体" w:eastAsia="宋体" w:cs="宋体"/>
          <w:szCs w:val="21"/>
        </w:rPr>
        <w:t>．</w:t>
      </w:r>
      <w:r>
        <w:rPr>
          <w:rFonts w:hint="eastAsia" w:ascii="宋体" w:hAnsi="宋体" w:eastAsia="宋体" w:cs="宋体"/>
          <w:b/>
          <w:szCs w:val="21"/>
        </w:rPr>
        <w:t>履约保证金</w:t>
      </w:r>
    </w:p>
    <w:p w14:paraId="768A05E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25.1 需提交履约保证金的项目，中标人应在合同签订之日起30日内，按照</w:t>
      </w:r>
      <w:r>
        <w:rPr>
          <w:rFonts w:hint="eastAsia" w:ascii="宋体" w:hAnsi="宋体" w:eastAsia="宋体" w:cs="宋体"/>
          <w:b/>
          <w:szCs w:val="21"/>
        </w:rPr>
        <w:t>投标人须知前附表</w:t>
      </w:r>
      <w:r>
        <w:rPr>
          <w:rFonts w:hint="eastAsia" w:ascii="宋体" w:hAnsi="宋体" w:eastAsia="宋体" w:cs="宋体"/>
          <w:szCs w:val="21"/>
        </w:rPr>
        <w:t>的规定，向采购人提交履约保证金。</w:t>
      </w:r>
    </w:p>
    <w:p w14:paraId="03EA34E3">
      <w:pPr>
        <w:spacing w:line="360" w:lineRule="auto"/>
        <w:ind w:firstLine="422" w:firstLineChars="200"/>
        <w:jc w:val="center"/>
        <w:outlineLvl w:val="1"/>
        <w:rPr>
          <w:rFonts w:hint="eastAsia" w:ascii="宋体" w:hAnsi="宋体" w:eastAsia="宋体" w:cs="宋体"/>
          <w:b/>
          <w:bCs/>
        </w:rPr>
      </w:pPr>
      <w:bookmarkStart w:id="10" w:name="_Toc21824"/>
      <w:r>
        <w:rPr>
          <w:rFonts w:hint="eastAsia" w:ascii="宋体" w:hAnsi="宋体" w:eastAsia="宋体" w:cs="宋体"/>
          <w:b/>
          <w:bCs/>
        </w:rPr>
        <w:t>七、询问和质疑</w:t>
      </w:r>
      <w:bookmarkEnd w:id="10"/>
    </w:p>
    <w:p w14:paraId="68E694A4">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26. 询问</w:t>
      </w:r>
    </w:p>
    <w:p w14:paraId="7C75D6A7">
      <w:pPr>
        <w:topLinePunct/>
        <w:autoSpaceDE w:val="0"/>
        <w:autoSpaceDN w:val="0"/>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52A789CA">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27</w:t>
      </w:r>
      <w:r>
        <w:rPr>
          <w:rFonts w:hint="eastAsia" w:ascii="宋体" w:hAnsi="宋体" w:eastAsia="宋体" w:cs="宋体"/>
          <w:szCs w:val="21"/>
        </w:rPr>
        <w:t>．</w:t>
      </w:r>
      <w:r>
        <w:rPr>
          <w:rFonts w:hint="eastAsia" w:ascii="宋体" w:hAnsi="宋体" w:eastAsia="宋体" w:cs="宋体"/>
          <w:b/>
          <w:szCs w:val="21"/>
        </w:rPr>
        <w:t>质疑</w:t>
      </w:r>
    </w:p>
    <w:p w14:paraId="58AAEF04">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bCs/>
          <w:szCs w:val="21"/>
        </w:rPr>
        <w:t>见</w:t>
      </w:r>
      <w:r>
        <w:rPr>
          <w:rFonts w:hint="eastAsia" w:ascii="宋体" w:hAnsi="宋体" w:eastAsia="宋体" w:cs="宋体"/>
          <w:b/>
          <w:szCs w:val="21"/>
        </w:rPr>
        <w:t>投标人须知前附表</w:t>
      </w:r>
      <w:r>
        <w:rPr>
          <w:rFonts w:hint="eastAsia" w:ascii="宋体" w:hAnsi="宋体" w:eastAsia="宋体" w:cs="宋体"/>
          <w:szCs w:val="21"/>
        </w:rPr>
        <w:t>。</w:t>
      </w:r>
    </w:p>
    <w:p w14:paraId="143D5D2A">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27.2在法定质疑期内，针对同一采购程序环节的质疑应一次性提出。</w:t>
      </w:r>
    </w:p>
    <w:p w14:paraId="182EB936">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27.3质疑人应知其权益受到损害之日，是指： </w:t>
      </w:r>
    </w:p>
    <w:p w14:paraId="2756F98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（1）对可以质疑的采购文件提出质疑的，为收到采购文件之日或者采购文件公告期限届满之日；</w:t>
      </w:r>
    </w:p>
    <w:p w14:paraId="6029235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（2）对采购过程提出质疑的，为各采购程序环节结束之日；</w:t>
      </w:r>
    </w:p>
    <w:p w14:paraId="4D34ABA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（3）对中标结果提出质疑的，为中标结果公告期限届满之日。</w:t>
      </w:r>
    </w:p>
    <w:p w14:paraId="19E2F66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27.4质疑应当有明确的请求和必要的证明材料。供应商为自然人的，应当由本人签字；供应商为法人或者其他组织的，应当由法定代表人、主要负责人，或者其授权代表签字或者签章，并加盖公章。</w:t>
      </w:r>
    </w:p>
    <w:p w14:paraId="48FE9381">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27.5 采购人或者代理机构应当在收到供应商的质疑函后7个工作日内，对质疑内容作出答复，</w:t>
      </w:r>
      <w:r>
        <w:rPr>
          <w:rFonts w:hint="eastAsia" w:ascii="宋体" w:hAnsi="宋体" w:eastAsia="宋体" w:cs="宋体"/>
          <w:bCs/>
          <w:szCs w:val="21"/>
        </w:rPr>
        <w:t>书面形式</w:t>
      </w:r>
      <w:r>
        <w:rPr>
          <w:rFonts w:hint="eastAsia" w:ascii="宋体" w:hAnsi="宋体" w:eastAsia="宋体" w:cs="宋体"/>
          <w:szCs w:val="21"/>
        </w:rPr>
        <w:t>通知质疑供应商和其他有关供应商，但答复内容不得涉及商业秘密。</w:t>
      </w:r>
    </w:p>
    <w:p w14:paraId="675970E5">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27.6质疑人对采购人、采购代理机构的答复不满意或者采购人、采购代理机构未在规定的时间内作出答复的，可以在答复期满后15个工作日内向同级人民政府财政部门投诉。</w:t>
      </w:r>
    </w:p>
    <w:p w14:paraId="46092753">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27.7投诉应当有明确的请求和必要的证明材料。投诉的事项不得超出已质疑事项的范围。</w:t>
      </w:r>
    </w:p>
    <w:p w14:paraId="60CD110A">
      <w:pPr>
        <w:spacing w:line="360" w:lineRule="auto"/>
        <w:ind w:firstLine="422" w:firstLineChars="200"/>
        <w:jc w:val="center"/>
        <w:outlineLvl w:val="1"/>
        <w:rPr>
          <w:rFonts w:hint="eastAsia" w:ascii="宋体" w:hAnsi="宋体" w:eastAsia="宋体" w:cs="宋体"/>
          <w:b/>
          <w:bCs/>
        </w:rPr>
      </w:pPr>
      <w:bookmarkStart w:id="11" w:name="_Toc11218"/>
      <w:r>
        <w:rPr>
          <w:rFonts w:hint="eastAsia" w:ascii="宋体" w:hAnsi="宋体" w:eastAsia="宋体" w:cs="宋体"/>
          <w:b/>
          <w:bCs/>
        </w:rPr>
        <w:t>八、其他</w:t>
      </w:r>
      <w:bookmarkEnd w:id="11"/>
    </w:p>
    <w:p w14:paraId="0D4BF173">
      <w:pPr>
        <w:topLinePunct/>
        <w:autoSpaceDE w:val="0"/>
        <w:autoSpaceDN w:val="0"/>
        <w:adjustRightInd w:val="0"/>
        <w:snapToGrid w:val="0"/>
        <w:spacing w:line="360" w:lineRule="auto"/>
        <w:ind w:firstLine="422" w:firstLineChars="200"/>
        <w:rPr>
          <w:rFonts w:hint="eastAsia" w:ascii="宋体" w:hAnsi="宋体" w:eastAsia="宋体" w:cs="宋体"/>
          <w:b/>
          <w:szCs w:val="21"/>
        </w:rPr>
      </w:pPr>
      <w:bookmarkStart w:id="12" w:name="_Toc262111390"/>
      <w:bookmarkStart w:id="13" w:name="_Toc217989361"/>
      <w:bookmarkStart w:id="14" w:name="_Toc233181902"/>
      <w:bookmarkStart w:id="15" w:name="_Toc319519285"/>
      <w:r>
        <w:rPr>
          <w:rFonts w:hint="eastAsia" w:ascii="宋体" w:hAnsi="宋体" w:eastAsia="宋体" w:cs="宋体"/>
          <w:b/>
          <w:szCs w:val="21"/>
        </w:rPr>
        <w:t>28</w:t>
      </w:r>
      <w:r>
        <w:rPr>
          <w:rFonts w:hint="eastAsia" w:ascii="宋体" w:hAnsi="宋体" w:eastAsia="宋体" w:cs="宋体"/>
          <w:szCs w:val="21"/>
        </w:rPr>
        <w:t>．</w:t>
      </w:r>
      <w:r>
        <w:rPr>
          <w:rFonts w:hint="eastAsia" w:ascii="宋体" w:hAnsi="宋体" w:eastAsia="宋体" w:cs="宋体"/>
          <w:b/>
          <w:szCs w:val="21"/>
        </w:rPr>
        <w:t>保密</w:t>
      </w:r>
    </w:p>
    <w:p w14:paraId="557C9AF2">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28.1采购人、采购代理机构应当采取必要措施，保证评标在严格保密的情况下进行。除采购人代表、评标现场组织人员外，采购人的其他工作人员以及与评标工作无关的人员不得进入评标现场。</w:t>
      </w:r>
    </w:p>
    <w:p w14:paraId="715ACE0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28.2 评标委员会成员和参与评标工作的有关人员对评标情况以及在评标过程中获悉的国家秘密、商业秘密负有保密责任。</w:t>
      </w:r>
    </w:p>
    <w:p w14:paraId="7335BEF5">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29. 知识产权与规避专利、版权纠纷</w:t>
      </w:r>
      <w:bookmarkEnd w:id="12"/>
      <w:bookmarkEnd w:id="13"/>
      <w:bookmarkEnd w:id="14"/>
      <w:bookmarkEnd w:id="15"/>
    </w:p>
    <w:p w14:paraId="68F28EBE">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29.1 知识产权</w:t>
      </w:r>
    </w:p>
    <w:p w14:paraId="3B4CBF50">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6F4B86FE">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 规避专利、版权纠纷</w:t>
      </w:r>
    </w:p>
    <w:p w14:paraId="193BDE29">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29.2.1 投标人应保证其投标方案中的有关软件、文件、图纸等没有违反有关专利和版权等知识产权的规定。</w:t>
      </w:r>
    </w:p>
    <w:p w14:paraId="0A2AC3D5">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29.2.2 中标人应保证采购人在中华人民共和国使用本项目成果任何一部分、或接受乙方服务时，免受第三方提出的侵犯其专利权、商标权或工业设计权等知识产权的索赔或起诉。</w:t>
      </w:r>
    </w:p>
    <w:p w14:paraId="0E590FFC">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418138AC">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3B69558E">
      <w:pPr>
        <w:spacing w:line="360" w:lineRule="auto"/>
        <w:rPr>
          <w:rFonts w:hint="eastAsia" w:ascii="宋体" w:hAnsi="宋体" w:eastAsia="宋体" w:cs="宋体"/>
          <w:szCs w:val="21"/>
        </w:rPr>
        <w:sectPr>
          <w:pgSz w:w="11906" w:h="16838"/>
          <w:pgMar w:top="1440" w:right="1752" w:bottom="1440" w:left="1752" w:header="851" w:footer="992" w:gutter="0"/>
          <w:cols w:space="720" w:num="1"/>
          <w:titlePg/>
          <w:docGrid w:type="lines" w:linePitch="312" w:charSpace="0"/>
        </w:sectPr>
      </w:pPr>
    </w:p>
    <w:p w14:paraId="06460D65">
      <w:pPr>
        <w:jc w:val="center"/>
        <w:outlineLvl w:val="0"/>
        <w:rPr>
          <w:rFonts w:hint="eastAsia" w:ascii="宋体" w:hAnsi="宋体" w:eastAsia="宋体" w:cs="宋体"/>
          <w:sz w:val="28"/>
          <w:szCs w:val="28"/>
        </w:rPr>
      </w:pPr>
      <w:bookmarkStart w:id="16" w:name="_Toc525052846"/>
      <w:bookmarkStart w:id="17" w:name="_Toc1298913388"/>
      <w:bookmarkStart w:id="18" w:name="_Toc1380332034"/>
      <w:bookmarkStart w:id="19" w:name="_Toc1168671576"/>
      <w:bookmarkStart w:id="20" w:name="_Toc1292"/>
      <w:bookmarkStart w:id="21" w:name="_Toc1481241717"/>
      <w:bookmarkStart w:id="22" w:name="_Toc38030149"/>
      <w:bookmarkStart w:id="23" w:name="_Toc937455070"/>
      <w:bookmarkStart w:id="24" w:name="_Toc1762322514"/>
      <w:r>
        <w:rPr>
          <w:rFonts w:hint="eastAsia" w:ascii="宋体" w:hAnsi="宋体" w:eastAsia="宋体" w:cs="宋体"/>
          <w:b/>
          <w:bCs/>
          <w:sz w:val="28"/>
          <w:szCs w:val="28"/>
        </w:rPr>
        <w:t>第三章  评标方法及标准</w:t>
      </w:r>
      <w:bookmarkEnd w:id="16"/>
      <w:bookmarkEnd w:id="17"/>
      <w:bookmarkEnd w:id="18"/>
      <w:bookmarkEnd w:id="19"/>
      <w:bookmarkEnd w:id="20"/>
      <w:bookmarkEnd w:id="21"/>
      <w:bookmarkEnd w:id="22"/>
      <w:bookmarkEnd w:id="23"/>
      <w:bookmarkEnd w:id="24"/>
    </w:p>
    <w:p w14:paraId="60005E57">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1.评标方法</w:t>
      </w:r>
    </w:p>
    <w:p w14:paraId="45BF3460">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 本项目评标方法：</w:t>
      </w:r>
      <w:r>
        <w:rPr>
          <w:rFonts w:hint="eastAsia" w:ascii="宋体" w:hAnsi="宋体" w:eastAsia="宋体" w:cs="宋体"/>
          <w:b/>
          <w:szCs w:val="21"/>
          <w:u w:val="single"/>
        </w:rPr>
        <w:t>采用综合评分法</w:t>
      </w:r>
    </w:p>
    <w:p w14:paraId="3E583A91">
      <w:pPr>
        <w:topLinePunct/>
        <w:autoSpaceDE w:val="0"/>
        <w:autoSpaceDN w:val="0"/>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2.评标标准</w:t>
      </w:r>
    </w:p>
    <w:p w14:paraId="4C324959">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2.1 本项目</w:t>
      </w:r>
      <w:r>
        <w:rPr>
          <w:rFonts w:ascii="宋体" w:hAnsi="宋体" w:cs="宋体"/>
          <w:b/>
          <w:sz w:val="21"/>
          <w:szCs w:val="21"/>
          <w:u w:val="single"/>
        </w:rPr>
        <w:t>采用综合评分法</w:t>
      </w:r>
      <w:r>
        <w:rPr>
          <w:rFonts w:ascii="宋体" w:hAnsi="宋体" w:cs="宋体"/>
          <w:sz w:val="21"/>
          <w:szCs w:val="21"/>
        </w:rPr>
        <w:t>进行评标，综合评分法是指投标文件满足招标文件全部实质性要求，且按照评审因素的量化指标评审得分最高的投标人为中标候选人的评标方法。评审因素主要内容如下表。</w:t>
      </w:r>
    </w:p>
    <w:p w14:paraId="6DE3A314">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 本项目价格分值为</w:t>
      </w:r>
      <w:r>
        <w:rPr>
          <w:rFonts w:hint="eastAsia" w:ascii="宋体" w:hAnsi="宋体" w:eastAsia="宋体" w:cs="宋体"/>
          <w:szCs w:val="21"/>
          <w:u w:val="single"/>
        </w:rPr>
        <w:t xml:space="preserve">  15  </w:t>
      </w:r>
      <w:r>
        <w:rPr>
          <w:rFonts w:hint="eastAsia" w:ascii="宋体" w:hAnsi="宋体" w:eastAsia="宋体" w:cs="宋体"/>
          <w:szCs w:val="21"/>
        </w:rPr>
        <w:t>分，其余评审因素分值为</w:t>
      </w:r>
      <w:r>
        <w:rPr>
          <w:rFonts w:hint="eastAsia" w:ascii="宋体" w:hAnsi="宋体" w:eastAsia="宋体" w:cs="宋体"/>
          <w:szCs w:val="21"/>
          <w:u w:val="single"/>
        </w:rPr>
        <w:t xml:space="preserve">  85  </w:t>
      </w:r>
      <w:r>
        <w:rPr>
          <w:rFonts w:hint="eastAsia" w:ascii="宋体" w:hAnsi="宋体" w:eastAsia="宋体" w:cs="宋体"/>
          <w:szCs w:val="21"/>
        </w:rPr>
        <w:t>分（其中商务因素</w:t>
      </w:r>
      <w:r>
        <w:rPr>
          <w:rFonts w:hint="eastAsia" w:ascii="宋体" w:hAnsi="宋体" w:eastAsia="宋体" w:cs="宋体"/>
          <w:szCs w:val="21"/>
          <w:u w:val="single"/>
        </w:rPr>
        <w:t xml:space="preserve">  25  </w:t>
      </w:r>
      <w:r>
        <w:rPr>
          <w:rFonts w:hint="eastAsia" w:ascii="宋体" w:hAnsi="宋体" w:eastAsia="宋体" w:cs="宋体"/>
          <w:szCs w:val="21"/>
        </w:rPr>
        <w:t>分，技术因素</w:t>
      </w:r>
      <w:r>
        <w:rPr>
          <w:rFonts w:hint="eastAsia" w:ascii="宋体" w:hAnsi="宋体" w:eastAsia="宋体" w:cs="宋体"/>
          <w:szCs w:val="21"/>
          <w:u w:val="single"/>
        </w:rPr>
        <w:t xml:space="preserve">  60  </w:t>
      </w:r>
      <w:r>
        <w:rPr>
          <w:rFonts w:hint="eastAsia" w:ascii="宋体" w:hAnsi="宋体" w:eastAsia="宋体" w:cs="宋体"/>
          <w:szCs w:val="21"/>
        </w:rPr>
        <w:t>分）。</w:t>
      </w:r>
    </w:p>
    <w:p w14:paraId="5F37DEF1">
      <w:pPr>
        <w:pStyle w:val="60"/>
        <w:spacing w:line="460" w:lineRule="exact"/>
        <w:ind w:left="420" w:firstLine="0" w:firstLineChars="0"/>
        <w:rPr>
          <w:rFonts w:ascii="Times New Roman" w:hAnsi="Times New Roman"/>
          <w:b/>
          <w:bCs/>
          <w:szCs w:val="21"/>
        </w:rPr>
      </w:pPr>
      <w:r>
        <w:rPr>
          <w:rFonts w:hint="eastAsia" w:ascii="Times New Roman" w:hAnsi="Times New Roman"/>
          <w:b/>
          <w:bCs/>
          <w:szCs w:val="21"/>
        </w:rPr>
        <w:t>各部份评分分值分布如下：</w:t>
      </w:r>
    </w:p>
    <w:p w14:paraId="13145648">
      <w:pPr>
        <w:pStyle w:val="60"/>
        <w:spacing w:line="460" w:lineRule="exact"/>
        <w:ind w:left="420" w:firstLine="0" w:firstLineChars="0"/>
        <w:rPr>
          <w:rFonts w:ascii="Times New Roman" w:hAnsi="Times New Roman"/>
          <w:b/>
          <w:bCs/>
          <w:szCs w:val="21"/>
        </w:rPr>
      </w:pPr>
      <w:r>
        <w:rPr>
          <w:rFonts w:ascii="Times New Roman" w:hAnsi="Times New Roman"/>
          <w:b/>
          <w:bCs/>
          <w:szCs w:val="21"/>
        </w:rPr>
        <w:t>A</w:t>
      </w:r>
      <w:r>
        <w:rPr>
          <w:rFonts w:hint="eastAsia" w:ascii="Times New Roman" w:hAnsi="Times New Roman"/>
          <w:b/>
          <w:bCs/>
          <w:szCs w:val="21"/>
        </w:rPr>
        <w:t>：报价部分评分：满分15分</w:t>
      </w:r>
    </w:p>
    <w:p w14:paraId="6ADBE9E7">
      <w:pPr>
        <w:pStyle w:val="60"/>
        <w:spacing w:line="460" w:lineRule="exact"/>
        <w:ind w:left="420" w:firstLine="0" w:firstLineChars="0"/>
        <w:rPr>
          <w:rFonts w:ascii="Times New Roman" w:hAnsi="Times New Roman"/>
          <w:b/>
          <w:bCs/>
          <w:szCs w:val="21"/>
        </w:rPr>
      </w:pPr>
      <w:r>
        <w:rPr>
          <w:rFonts w:hint="eastAsia" w:ascii="Times New Roman" w:hAnsi="Times New Roman"/>
          <w:b/>
          <w:bCs/>
          <w:szCs w:val="21"/>
        </w:rPr>
        <w:t>B：技术因素评分：满分60分</w:t>
      </w:r>
    </w:p>
    <w:p w14:paraId="5FD462F8">
      <w:pPr>
        <w:pStyle w:val="60"/>
        <w:spacing w:line="460" w:lineRule="exact"/>
        <w:ind w:left="420" w:firstLine="0" w:firstLineChars="0"/>
        <w:rPr>
          <w:rFonts w:ascii="Times New Roman" w:hAnsi="Times New Roman"/>
          <w:b/>
          <w:bCs/>
          <w:szCs w:val="21"/>
        </w:rPr>
      </w:pPr>
      <w:r>
        <w:rPr>
          <w:rFonts w:hint="eastAsia" w:ascii="Times New Roman" w:hAnsi="Times New Roman"/>
          <w:b/>
          <w:bCs/>
          <w:szCs w:val="21"/>
        </w:rPr>
        <w:t>C：商务因素评分：满分25分</w:t>
      </w:r>
    </w:p>
    <w:p w14:paraId="19306929">
      <w:pPr>
        <w:pStyle w:val="60"/>
        <w:spacing w:line="460" w:lineRule="exact"/>
        <w:rPr>
          <w:rFonts w:ascii="宋体" w:cs="宋体"/>
        </w:rPr>
      </w:pPr>
      <w:r>
        <w:rPr>
          <w:rFonts w:hint="eastAsia" w:ascii="宋体" w:hAnsi="宋体" w:cs="宋体"/>
        </w:rPr>
        <w:t>各评委评分</w:t>
      </w:r>
      <w:r>
        <w:rPr>
          <w:rFonts w:ascii="宋体" w:hAnsi="宋体" w:cs="宋体"/>
        </w:rPr>
        <w:t>B</w:t>
      </w:r>
      <w:r>
        <w:rPr>
          <w:rFonts w:hint="eastAsia" w:ascii="宋体" w:hAnsi="宋体" w:cs="宋体"/>
          <w:szCs w:val="21"/>
        </w:rPr>
        <w:t>、</w:t>
      </w:r>
      <w:r>
        <w:rPr>
          <w:rFonts w:hint="eastAsia" w:ascii="宋体" w:hAnsi="宋体" w:cs="宋体"/>
        </w:rPr>
        <w:t>C部分分别取算术平均值为最终得分，并取小数点后的</w:t>
      </w:r>
      <w:r>
        <w:rPr>
          <w:rFonts w:ascii="宋体" w:hAnsi="宋体" w:cs="宋体"/>
        </w:rPr>
        <w:t>2</w:t>
      </w:r>
      <w:r>
        <w:rPr>
          <w:rFonts w:hint="eastAsia" w:ascii="宋体" w:hAnsi="宋体" w:cs="宋体"/>
        </w:rPr>
        <w:t>位数。</w:t>
      </w:r>
    </w:p>
    <w:tbl>
      <w:tblPr>
        <w:tblStyle w:val="29"/>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81"/>
        <w:gridCol w:w="1162"/>
        <w:gridCol w:w="5842"/>
        <w:gridCol w:w="838"/>
      </w:tblGrid>
      <w:tr w14:paraId="4A2273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3A2BD68A">
            <w:pPr>
              <w:widowControl/>
              <w:overflowPunct w:val="0"/>
              <w:autoSpaceDE w:val="0"/>
              <w:autoSpaceDN w:val="0"/>
              <w:adjustRightInd w:val="0"/>
              <w:spacing w:line="360" w:lineRule="auto"/>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81" w:type="dxa"/>
            <w:tcBorders>
              <w:top w:val="single" w:color="auto" w:sz="4" w:space="0"/>
              <w:left w:val="single" w:color="auto" w:sz="4" w:space="0"/>
              <w:bottom w:val="single" w:color="auto" w:sz="4" w:space="0"/>
              <w:right w:val="single" w:color="auto" w:sz="4" w:space="0"/>
            </w:tcBorders>
            <w:noWrap/>
            <w:vAlign w:val="center"/>
          </w:tcPr>
          <w:p w14:paraId="2ADB4BA4">
            <w:pPr>
              <w:widowControl/>
              <w:overflowPunct w:val="0"/>
              <w:autoSpaceDE w:val="0"/>
              <w:autoSpaceDN w:val="0"/>
              <w:adjustRightInd w:val="0"/>
              <w:spacing w:line="360" w:lineRule="auto"/>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1162" w:type="dxa"/>
            <w:tcBorders>
              <w:top w:val="single" w:color="auto" w:sz="4" w:space="0"/>
              <w:left w:val="single" w:color="auto" w:sz="4" w:space="0"/>
              <w:bottom w:val="single" w:color="auto" w:sz="4" w:space="0"/>
              <w:right w:val="single" w:color="auto" w:sz="4" w:space="0"/>
            </w:tcBorders>
            <w:noWrap/>
            <w:vAlign w:val="center"/>
          </w:tcPr>
          <w:p w14:paraId="58A7C695">
            <w:pPr>
              <w:widowControl/>
              <w:overflowPunct w:val="0"/>
              <w:autoSpaceDE w:val="0"/>
              <w:autoSpaceDN w:val="0"/>
              <w:adjustRightInd w:val="0"/>
              <w:spacing w:line="360" w:lineRule="auto"/>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主要内容</w:t>
            </w:r>
          </w:p>
        </w:tc>
        <w:tc>
          <w:tcPr>
            <w:tcW w:w="5842" w:type="dxa"/>
            <w:tcBorders>
              <w:top w:val="single" w:color="auto" w:sz="4" w:space="0"/>
              <w:left w:val="single" w:color="auto" w:sz="4" w:space="0"/>
              <w:bottom w:val="single" w:color="auto" w:sz="4" w:space="0"/>
              <w:right w:val="single" w:color="auto" w:sz="4" w:space="0"/>
            </w:tcBorders>
            <w:noWrap/>
            <w:vAlign w:val="center"/>
          </w:tcPr>
          <w:p w14:paraId="3235CA59">
            <w:pPr>
              <w:widowControl/>
              <w:overflowPunct w:val="0"/>
              <w:autoSpaceDE w:val="0"/>
              <w:autoSpaceDN w:val="0"/>
              <w:adjustRightInd w:val="0"/>
              <w:spacing w:line="360" w:lineRule="auto"/>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14:paraId="232E8C17">
            <w:pPr>
              <w:widowControl/>
              <w:overflowPunct w:val="0"/>
              <w:autoSpaceDE w:val="0"/>
              <w:autoSpaceDN w:val="0"/>
              <w:adjustRightInd w:val="0"/>
              <w:spacing w:line="360" w:lineRule="auto"/>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细项</w:t>
            </w:r>
          </w:p>
          <w:p w14:paraId="193A0213">
            <w:pPr>
              <w:widowControl/>
              <w:overflowPunct w:val="0"/>
              <w:autoSpaceDE w:val="0"/>
              <w:autoSpaceDN w:val="0"/>
              <w:adjustRightInd w:val="0"/>
              <w:spacing w:line="360" w:lineRule="auto"/>
              <w:jc w:val="center"/>
              <w:textAlignment w:val="baseline"/>
              <w:rPr>
                <w:rFonts w:hint="eastAsia" w:ascii="宋体" w:hAnsi="宋体" w:eastAsia="宋体" w:cs="宋体"/>
                <w:b/>
                <w:bCs/>
                <w:kern w:val="0"/>
                <w:szCs w:val="21"/>
              </w:rPr>
            </w:pPr>
            <w:r>
              <w:rPr>
                <w:rFonts w:hint="eastAsia" w:ascii="宋体" w:hAnsi="宋体" w:eastAsia="宋体" w:cs="宋体"/>
                <w:b/>
                <w:bCs/>
                <w:kern w:val="0"/>
                <w:szCs w:val="21"/>
              </w:rPr>
              <w:t>分值</w:t>
            </w:r>
          </w:p>
        </w:tc>
      </w:tr>
      <w:tr w14:paraId="0547F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3"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221BFF51">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w:t>
            </w:r>
          </w:p>
        </w:tc>
        <w:tc>
          <w:tcPr>
            <w:tcW w:w="681" w:type="dxa"/>
            <w:tcBorders>
              <w:top w:val="single" w:color="auto" w:sz="4" w:space="0"/>
              <w:left w:val="single" w:color="auto" w:sz="4" w:space="0"/>
              <w:bottom w:val="single" w:color="auto" w:sz="4" w:space="0"/>
              <w:right w:val="single" w:color="auto" w:sz="4" w:space="0"/>
            </w:tcBorders>
            <w:noWrap/>
            <w:vAlign w:val="center"/>
          </w:tcPr>
          <w:p w14:paraId="5DFDD7A8">
            <w:pPr>
              <w:spacing w:before="48" w:after="48"/>
              <w:rPr>
                <w:rFonts w:hint="eastAsia" w:ascii="宋体" w:hAnsi="宋体" w:eastAsia="宋体" w:cs="宋体"/>
                <w:kern w:val="0"/>
                <w:szCs w:val="21"/>
                <w:lang w:val="zh-CN"/>
              </w:rPr>
            </w:pPr>
            <w:r>
              <w:rPr>
                <w:rFonts w:hint="eastAsia" w:ascii="宋体" w:hAnsi="宋体" w:eastAsia="宋体" w:cs="宋体"/>
                <w:kern w:val="0"/>
                <w:szCs w:val="21"/>
                <w:lang w:val="zh-CN"/>
              </w:rPr>
              <w:t>投标报价</w:t>
            </w:r>
          </w:p>
        </w:tc>
        <w:tc>
          <w:tcPr>
            <w:tcW w:w="1162" w:type="dxa"/>
            <w:tcBorders>
              <w:top w:val="single" w:color="auto" w:sz="4" w:space="0"/>
              <w:left w:val="single" w:color="auto" w:sz="4" w:space="0"/>
              <w:bottom w:val="single" w:color="auto" w:sz="4" w:space="0"/>
              <w:right w:val="single" w:color="auto" w:sz="4" w:space="0"/>
            </w:tcBorders>
            <w:noWrap/>
            <w:vAlign w:val="center"/>
          </w:tcPr>
          <w:p w14:paraId="0E928C76">
            <w:pPr>
              <w:spacing w:before="48" w:after="48"/>
              <w:jc w:val="center"/>
              <w:rPr>
                <w:rFonts w:hint="eastAsia" w:ascii="宋体" w:hAnsi="宋体" w:eastAsia="宋体" w:cs="宋体"/>
                <w:kern w:val="0"/>
                <w:szCs w:val="21"/>
                <w:lang w:val="zh-CN"/>
              </w:rPr>
            </w:pPr>
            <w:r>
              <w:rPr>
                <w:rFonts w:hint="eastAsia" w:ascii="宋体" w:hAnsi="宋体" w:eastAsia="宋体" w:cs="宋体"/>
                <w:kern w:val="0"/>
                <w:szCs w:val="21"/>
              </w:rPr>
              <w:t>A.</w:t>
            </w:r>
            <w:r>
              <w:rPr>
                <w:rFonts w:hint="eastAsia" w:ascii="宋体" w:hAnsi="宋体" w:eastAsia="宋体" w:cs="宋体"/>
                <w:kern w:val="0"/>
                <w:szCs w:val="21"/>
                <w:lang w:val="zh-CN"/>
              </w:rPr>
              <w:t>价 格</w:t>
            </w:r>
          </w:p>
        </w:tc>
        <w:tc>
          <w:tcPr>
            <w:tcW w:w="5842" w:type="dxa"/>
            <w:tcBorders>
              <w:top w:val="single" w:color="auto" w:sz="4" w:space="0"/>
              <w:left w:val="single" w:color="auto" w:sz="4" w:space="0"/>
              <w:bottom w:val="single" w:color="auto" w:sz="4" w:space="0"/>
              <w:right w:val="single" w:color="auto" w:sz="4" w:space="0"/>
            </w:tcBorders>
            <w:noWrap/>
            <w:vAlign w:val="center"/>
          </w:tcPr>
          <w:p w14:paraId="3744B6A7">
            <w:pPr>
              <w:spacing w:before="48" w:after="48"/>
              <w:rPr>
                <w:rFonts w:hint="eastAsia" w:ascii="宋体" w:hAnsi="宋体" w:eastAsia="宋体" w:cs="宋体"/>
                <w:szCs w:val="21"/>
                <w:lang w:val="zh-CN"/>
              </w:rPr>
            </w:pPr>
            <w:r>
              <w:rPr>
                <w:rFonts w:hint="eastAsia" w:ascii="宋体" w:hAnsi="宋体" w:eastAsia="宋体" w:cs="宋体"/>
                <w:szCs w:val="21"/>
              </w:rPr>
              <w:t>投标价格得分＝（评标基准价/各投标人的投标结算系数）×价格评标分值。</w:t>
            </w:r>
            <w:r>
              <w:rPr>
                <w:rFonts w:hint="eastAsia" w:ascii="宋体" w:hAnsi="宋体" w:eastAsia="宋体" w:cs="宋体"/>
                <w:szCs w:val="21"/>
              </w:rPr>
              <w:br w:type="textWrapping"/>
            </w:r>
            <w:r>
              <w:rPr>
                <w:rFonts w:hint="eastAsia" w:ascii="宋体" w:hAnsi="宋体" w:eastAsia="宋体" w:cs="宋体"/>
                <w:szCs w:val="21"/>
              </w:rPr>
              <w:t>评标基准价为满足招标文件要求且投标结算系数最低的投标报价，计算分数时四舍五入取小数点后两位。如：打8.5折，即投标结算系数为0.85。</w:t>
            </w:r>
            <w:r>
              <w:rPr>
                <w:rFonts w:hint="eastAsia" w:ascii="宋体" w:hAnsi="宋体" w:eastAsia="宋体" w:cs="宋体"/>
                <w:szCs w:val="21"/>
              </w:rPr>
              <w:br w:type="textWrapping"/>
            </w:r>
            <w:r>
              <w:rPr>
                <w:rFonts w:hint="eastAsia" w:ascii="宋体" w:hAnsi="宋体" w:eastAsia="宋体" w:cs="宋体"/>
                <w:szCs w:val="21"/>
              </w:rPr>
              <w:t>注：采购人不接受投标人的恶意低价竞争，评标委员会认为投标人的报价明显低于其他通过符合性审查投标人的报价，有可能影响产品质量或者不能诚信履约的，要求其在评标现场提供书面说明，并提交相关证明材料，投标人不能证明其报价合理性的，评标委员会将对其作为无效投标处理。</w:t>
            </w:r>
          </w:p>
        </w:tc>
        <w:tc>
          <w:tcPr>
            <w:tcW w:w="838" w:type="dxa"/>
            <w:tcBorders>
              <w:top w:val="single" w:color="auto" w:sz="4" w:space="0"/>
              <w:left w:val="single" w:color="auto" w:sz="4" w:space="0"/>
              <w:bottom w:val="single" w:color="auto" w:sz="4" w:space="0"/>
              <w:right w:val="single" w:color="auto" w:sz="4" w:space="0"/>
            </w:tcBorders>
            <w:noWrap/>
            <w:vAlign w:val="center"/>
          </w:tcPr>
          <w:p w14:paraId="16646E37">
            <w:pPr>
              <w:widowControl/>
              <w:overflowPunct w:val="0"/>
              <w:autoSpaceDE w:val="0"/>
              <w:autoSpaceDN w:val="0"/>
              <w:adjustRightIn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15</w:t>
            </w:r>
          </w:p>
        </w:tc>
      </w:tr>
      <w:tr w14:paraId="2E829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3E4E00D7">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2</w:t>
            </w:r>
          </w:p>
        </w:tc>
        <w:tc>
          <w:tcPr>
            <w:tcW w:w="681" w:type="dxa"/>
            <w:vMerge w:val="restart"/>
            <w:tcBorders>
              <w:top w:val="single" w:color="auto" w:sz="4" w:space="0"/>
              <w:left w:val="single" w:color="auto" w:sz="4" w:space="0"/>
              <w:right w:val="single" w:color="auto" w:sz="4" w:space="0"/>
            </w:tcBorders>
            <w:noWrap/>
            <w:vAlign w:val="center"/>
          </w:tcPr>
          <w:p w14:paraId="05FAFEFF">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技术因素</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01FB8">
            <w:pPr>
              <w:spacing w:before="48" w:after="48"/>
              <w:jc w:val="center"/>
              <w:rPr>
                <w:rFonts w:hint="eastAsia" w:ascii="宋体" w:hAnsi="宋体" w:eastAsia="宋体" w:cs="宋体"/>
                <w:kern w:val="0"/>
                <w:szCs w:val="21"/>
                <w:lang w:val="zh-CN"/>
              </w:rPr>
            </w:pPr>
            <w:r>
              <w:rPr>
                <w:rFonts w:hint="eastAsia" w:ascii="宋体" w:hAnsi="宋体" w:eastAsia="宋体" w:cs="宋体"/>
                <w:szCs w:val="21"/>
              </w:rPr>
              <w:t>B1.</w:t>
            </w:r>
            <w:r>
              <w:rPr>
                <w:rFonts w:hint="eastAsia" w:ascii="宋体" w:hAnsi="宋体" w:eastAsia="宋体" w:cs="宋体"/>
                <w:color w:val="000000"/>
                <w:szCs w:val="21"/>
              </w:rPr>
              <w:t>项目需求理解</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64B6935D">
            <w:pPr>
              <w:spacing w:before="48" w:after="48"/>
              <w:rPr>
                <w:rFonts w:hint="eastAsia" w:ascii="宋体" w:hAnsi="宋体" w:eastAsia="宋体" w:cs="宋体"/>
                <w:kern w:val="0"/>
                <w:szCs w:val="21"/>
                <w:lang w:val="zh-CN"/>
              </w:rPr>
            </w:pPr>
            <w:r>
              <w:rPr>
                <w:rFonts w:hint="eastAsia" w:ascii="宋体" w:hAnsi="宋体" w:eastAsia="宋体" w:cs="宋体"/>
                <w:color w:val="000000"/>
                <w:szCs w:val="21"/>
              </w:rPr>
              <w:t>根据投标人对招标文件中本项目采购需求理解是否全面，相关内容要求是否响应或提高（包括但不限于：①人员配备需求、②设备配置需求、③项目事项、④采购要求、⑤供应商管理等内容）等描述，由评委进行评分：对项目各项需求内容等理解精准，响应全面完整，分析深入详细，得3分；对项目各项需求内容等理解较为准确，响应较为全面，分析较为详细，得2分；对项目各项需求内容等理解基本准确，但存在一定偏差，描述基本完整，得1分，未提供或理解及描述存在严重偏离的不得分。</w:t>
            </w:r>
          </w:p>
        </w:tc>
        <w:tc>
          <w:tcPr>
            <w:tcW w:w="838" w:type="dxa"/>
            <w:tcBorders>
              <w:top w:val="single" w:color="auto" w:sz="4" w:space="0"/>
              <w:left w:val="single" w:color="auto" w:sz="4" w:space="0"/>
              <w:right w:val="single" w:color="auto" w:sz="4" w:space="0"/>
            </w:tcBorders>
            <w:noWrap/>
            <w:vAlign w:val="center"/>
          </w:tcPr>
          <w:p w14:paraId="682241AD">
            <w:pPr>
              <w:spacing w:before="48" w:after="48"/>
              <w:jc w:val="center"/>
              <w:rPr>
                <w:rFonts w:hint="eastAsia" w:ascii="宋体" w:hAnsi="宋体" w:eastAsia="宋体" w:cs="宋体"/>
                <w:szCs w:val="21"/>
              </w:rPr>
            </w:pPr>
            <w:r>
              <w:rPr>
                <w:rFonts w:hint="eastAsia" w:ascii="宋体" w:hAnsi="宋体" w:eastAsia="宋体" w:cs="宋体"/>
                <w:color w:val="000000"/>
                <w:szCs w:val="21"/>
              </w:rPr>
              <w:t>3</w:t>
            </w:r>
          </w:p>
        </w:tc>
      </w:tr>
      <w:tr w14:paraId="74672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5F1DD810">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3</w:t>
            </w:r>
          </w:p>
        </w:tc>
        <w:tc>
          <w:tcPr>
            <w:tcW w:w="681" w:type="dxa"/>
            <w:vMerge w:val="continue"/>
            <w:tcBorders>
              <w:left w:val="single" w:color="auto" w:sz="4" w:space="0"/>
              <w:right w:val="single" w:color="auto" w:sz="4" w:space="0"/>
            </w:tcBorders>
            <w:noWrap/>
            <w:vAlign w:val="center"/>
          </w:tcPr>
          <w:p w14:paraId="5D178436">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noWrap/>
            <w:vAlign w:val="center"/>
          </w:tcPr>
          <w:p w14:paraId="7164A49E">
            <w:pPr>
              <w:spacing w:before="48" w:after="48"/>
              <w:jc w:val="center"/>
              <w:rPr>
                <w:rFonts w:hint="eastAsia" w:ascii="宋体" w:hAnsi="宋体" w:eastAsia="宋体" w:cs="宋体"/>
                <w:kern w:val="0"/>
                <w:szCs w:val="21"/>
                <w:lang w:val="zh-CN"/>
              </w:rPr>
            </w:pPr>
            <w:r>
              <w:rPr>
                <w:rFonts w:hint="eastAsia" w:ascii="宋体" w:hAnsi="宋体" w:eastAsia="宋体" w:cs="宋体"/>
                <w:szCs w:val="21"/>
              </w:rPr>
              <w:t>B2.</w:t>
            </w:r>
            <w:r>
              <w:rPr>
                <w:rFonts w:hint="eastAsia" w:ascii="宋体" w:hAnsi="宋体" w:eastAsia="宋体" w:cs="宋体"/>
                <w:color w:val="000000"/>
                <w:szCs w:val="21"/>
              </w:rPr>
              <w:t>配送方案</w:t>
            </w:r>
          </w:p>
        </w:tc>
        <w:tc>
          <w:tcPr>
            <w:tcW w:w="5842" w:type="dxa"/>
            <w:tcBorders>
              <w:top w:val="single" w:color="auto" w:sz="4" w:space="0"/>
              <w:left w:val="single" w:color="auto" w:sz="4" w:space="0"/>
              <w:bottom w:val="single" w:color="auto" w:sz="4" w:space="0"/>
              <w:right w:val="single" w:color="auto" w:sz="4" w:space="0"/>
            </w:tcBorders>
            <w:noWrap/>
          </w:tcPr>
          <w:p w14:paraId="5A5A8977">
            <w:pPr>
              <w:spacing w:before="48" w:after="48"/>
              <w:rPr>
                <w:rFonts w:hint="eastAsia" w:ascii="宋体" w:hAnsi="宋体" w:eastAsia="宋体" w:cs="宋体"/>
                <w:kern w:val="0"/>
                <w:szCs w:val="21"/>
                <w:lang w:val="zh-CN"/>
              </w:rPr>
            </w:pPr>
            <w:r>
              <w:rPr>
                <w:rFonts w:hint="eastAsia" w:ascii="宋体" w:hAnsi="宋体" w:eastAsia="宋体" w:cs="宋体"/>
                <w:color w:val="000000"/>
                <w:szCs w:val="21"/>
              </w:rPr>
              <w:t>根据投标人针对本项目制定的总体配送方案（包括但不限于：①对本项目配送上的重、难点分析；②根据本项目配送重点、难点提出相应措施和解决办法等），由评委进行评分：方案包含的要点齐全无缺漏项、内容与要点相符、每个要点均有展开详细的阐述且能够适用于本项目的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09DE4256">
            <w:pPr>
              <w:spacing w:before="48" w:after="48"/>
              <w:jc w:val="center"/>
              <w:rPr>
                <w:rFonts w:hint="eastAsia" w:ascii="宋体" w:hAnsi="宋体" w:eastAsia="宋体" w:cs="宋体"/>
                <w:szCs w:val="21"/>
              </w:rPr>
            </w:pPr>
            <w:r>
              <w:rPr>
                <w:rFonts w:hint="eastAsia" w:ascii="宋体" w:hAnsi="宋体" w:eastAsia="宋体" w:cs="宋体"/>
                <w:color w:val="000000"/>
                <w:szCs w:val="21"/>
              </w:rPr>
              <w:t>3</w:t>
            </w:r>
          </w:p>
        </w:tc>
      </w:tr>
      <w:tr w14:paraId="0888B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5F1BD200">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4</w:t>
            </w:r>
          </w:p>
        </w:tc>
        <w:tc>
          <w:tcPr>
            <w:tcW w:w="681" w:type="dxa"/>
            <w:vMerge w:val="continue"/>
            <w:tcBorders>
              <w:left w:val="single" w:color="auto" w:sz="4" w:space="0"/>
              <w:right w:val="single" w:color="auto" w:sz="4" w:space="0"/>
            </w:tcBorders>
            <w:noWrap/>
          </w:tcPr>
          <w:p w14:paraId="63EDACD4">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noWrap/>
            <w:vAlign w:val="center"/>
          </w:tcPr>
          <w:p w14:paraId="4FEDFCD9">
            <w:pPr>
              <w:spacing w:before="48" w:after="48"/>
              <w:jc w:val="center"/>
              <w:rPr>
                <w:rFonts w:hint="eastAsia" w:ascii="宋体" w:hAnsi="宋体" w:eastAsia="宋体" w:cs="宋体"/>
                <w:kern w:val="0"/>
                <w:szCs w:val="21"/>
                <w:lang w:val="zh-CN"/>
              </w:rPr>
            </w:pPr>
            <w:r>
              <w:rPr>
                <w:rFonts w:hint="eastAsia" w:ascii="宋体" w:hAnsi="宋体" w:eastAsia="宋体" w:cs="宋体"/>
                <w:szCs w:val="21"/>
              </w:rPr>
              <w:t>B3.</w:t>
            </w:r>
            <w:r>
              <w:rPr>
                <w:rFonts w:hint="eastAsia" w:ascii="宋体" w:hAnsi="宋体" w:eastAsia="宋体" w:cs="宋体"/>
                <w:color w:val="000000"/>
                <w:szCs w:val="21"/>
              </w:rPr>
              <w:t>质量保障方案</w:t>
            </w:r>
          </w:p>
        </w:tc>
        <w:tc>
          <w:tcPr>
            <w:tcW w:w="5842" w:type="dxa"/>
            <w:tcBorders>
              <w:top w:val="single" w:color="auto" w:sz="4" w:space="0"/>
              <w:left w:val="single" w:color="auto" w:sz="4" w:space="0"/>
              <w:bottom w:val="single" w:color="auto" w:sz="4" w:space="0"/>
              <w:right w:val="single" w:color="auto" w:sz="4" w:space="0"/>
            </w:tcBorders>
            <w:noWrap/>
          </w:tcPr>
          <w:p w14:paraId="0C859003">
            <w:pPr>
              <w:spacing w:before="48" w:after="48"/>
              <w:rPr>
                <w:rFonts w:hint="eastAsia" w:ascii="宋体" w:hAnsi="宋体" w:eastAsia="宋体" w:cs="宋体"/>
                <w:kern w:val="0"/>
                <w:szCs w:val="21"/>
                <w:lang w:val="zh-CN"/>
              </w:rPr>
            </w:pPr>
            <w:r>
              <w:rPr>
                <w:rFonts w:hint="eastAsia" w:ascii="宋体" w:hAnsi="宋体" w:eastAsia="宋体" w:cs="宋体"/>
                <w:color w:val="000000"/>
                <w:szCs w:val="21"/>
              </w:rPr>
              <w:t>根据投标人针对本项目制定的质量保障方案（包括但不限于：①食品来源、②加工、③包装、④仓储、⑤运输、⑥检验等各环节的质量保障方案），由评委进行评分：方案包括上述内容，并针对具体服务内容完整详细展开阐述，符合项目实际，能涵盖采购人日常食材质量保障工作全部关键节点，可操作性强的得5分；方案包括上述内容，但仅针对部分具体服务内容展开阐述或阐述内容不够详细，整体具有一定的可操作性，不足部分不影响项目实施的得3分；方案仅包括上述部分内容，阐述内容简短，操作性及可行性有待提高的得1分；未提供或内容存在明显错误、内容明显不适用于本项目需求的均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230A0364">
            <w:pPr>
              <w:spacing w:before="48" w:after="48"/>
              <w:jc w:val="center"/>
              <w:rPr>
                <w:rFonts w:hint="eastAsia" w:ascii="宋体" w:hAnsi="宋体" w:eastAsia="宋体" w:cs="宋体"/>
                <w:szCs w:val="21"/>
              </w:rPr>
            </w:pPr>
            <w:r>
              <w:rPr>
                <w:rFonts w:hint="eastAsia" w:ascii="宋体" w:hAnsi="宋体" w:eastAsia="宋体" w:cs="宋体"/>
                <w:color w:val="000000"/>
                <w:szCs w:val="21"/>
              </w:rPr>
              <w:t>5</w:t>
            </w:r>
          </w:p>
        </w:tc>
      </w:tr>
      <w:tr w14:paraId="7A623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14D9DDF3">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5</w:t>
            </w:r>
          </w:p>
        </w:tc>
        <w:tc>
          <w:tcPr>
            <w:tcW w:w="681" w:type="dxa"/>
            <w:vMerge w:val="continue"/>
            <w:tcBorders>
              <w:left w:val="single" w:color="auto" w:sz="4" w:space="0"/>
              <w:right w:val="single" w:color="auto" w:sz="4" w:space="0"/>
            </w:tcBorders>
            <w:noWrap/>
          </w:tcPr>
          <w:p w14:paraId="0FAB2B5F">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B6DB5">
            <w:pPr>
              <w:spacing w:before="48" w:after="48"/>
              <w:jc w:val="center"/>
              <w:rPr>
                <w:rFonts w:hint="eastAsia" w:ascii="宋体" w:hAnsi="宋体" w:eastAsia="宋体" w:cs="宋体"/>
                <w:kern w:val="0"/>
                <w:szCs w:val="21"/>
              </w:rPr>
            </w:pPr>
            <w:r>
              <w:rPr>
                <w:rFonts w:hint="eastAsia" w:ascii="宋体" w:hAnsi="宋体" w:eastAsia="宋体" w:cs="宋体"/>
                <w:szCs w:val="21"/>
              </w:rPr>
              <w:t>B4.</w:t>
            </w:r>
            <w:r>
              <w:rPr>
                <w:rFonts w:hint="eastAsia" w:ascii="宋体" w:hAnsi="宋体" w:eastAsia="宋体" w:cs="宋体"/>
                <w:color w:val="000000"/>
                <w:szCs w:val="21"/>
              </w:rPr>
              <w:t>食材管理相关制度</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5E1FE4D8">
            <w:pPr>
              <w:spacing w:before="48" w:after="48"/>
              <w:rPr>
                <w:rFonts w:hint="eastAsia" w:ascii="宋体" w:hAnsi="宋体" w:eastAsia="宋体" w:cs="宋体"/>
                <w:kern w:val="0"/>
                <w:szCs w:val="21"/>
              </w:rPr>
            </w:pPr>
            <w:r>
              <w:rPr>
                <w:rFonts w:hint="eastAsia" w:ascii="宋体" w:hAnsi="宋体" w:eastAsia="宋体" w:cs="宋体"/>
                <w:color w:val="000000"/>
                <w:szCs w:val="21"/>
              </w:rPr>
              <w:t>根据投标人针对本项目提供的食材管理相关制度（包括但不限于：①粗加工卫生管理制度、②仓库卫生管理制度、③食品采购索证索票登记、④台账管理制度等制度），由评委进行评分：方案包括上述制度内容，并针对具体制度内容完整详细展开阐述，符合项目实际，可操作性强的得3分；方案包括上述内容，但对具体制度未详细展开阐述，整体具有一定的可操作性，不足部分不影响项目实施的得2分；方案仅包括上述部分制度内容，阐述内容简短，操作性及可行性有待提高的得1分；未提供或内容存在明显错误、内容明显不适用于本项目需求的均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51CD7396">
            <w:pPr>
              <w:spacing w:before="48" w:after="48"/>
              <w:jc w:val="center"/>
              <w:rPr>
                <w:rFonts w:hint="eastAsia" w:ascii="宋体" w:hAnsi="宋体" w:eastAsia="宋体" w:cs="宋体"/>
                <w:szCs w:val="21"/>
              </w:rPr>
            </w:pPr>
            <w:r>
              <w:rPr>
                <w:rFonts w:hint="eastAsia" w:ascii="宋体" w:hAnsi="宋体" w:eastAsia="宋体" w:cs="宋体"/>
                <w:color w:val="000000"/>
                <w:szCs w:val="21"/>
              </w:rPr>
              <w:t>3</w:t>
            </w:r>
          </w:p>
        </w:tc>
      </w:tr>
      <w:tr w14:paraId="1273E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2D1C854A">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6</w:t>
            </w:r>
          </w:p>
        </w:tc>
        <w:tc>
          <w:tcPr>
            <w:tcW w:w="681" w:type="dxa"/>
            <w:vMerge w:val="continue"/>
            <w:tcBorders>
              <w:left w:val="single" w:color="auto" w:sz="4" w:space="0"/>
              <w:right w:val="single" w:color="auto" w:sz="4" w:space="0"/>
            </w:tcBorders>
            <w:noWrap/>
          </w:tcPr>
          <w:p w14:paraId="51EFA690">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noWrap/>
            <w:vAlign w:val="center"/>
          </w:tcPr>
          <w:p w14:paraId="24B4EA5D">
            <w:pPr>
              <w:spacing w:before="48" w:after="48"/>
              <w:jc w:val="center"/>
              <w:rPr>
                <w:rFonts w:hint="eastAsia" w:ascii="宋体" w:hAnsi="宋体" w:eastAsia="宋体" w:cs="宋体"/>
                <w:kern w:val="0"/>
                <w:szCs w:val="21"/>
              </w:rPr>
            </w:pPr>
            <w:r>
              <w:rPr>
                <w:rFonts w:hint="eastAsia" w:ascii="宋体" w:hAnsi="宋体" w:eastAsia="宋体" w:cs="宋体"/>
                <w:szCs w:val="21"/>
              </w:rPr>
              <w:t>B5.</w:t>
            </w:r>
            <w:r>
              <w:rPr>
                <w:rFonts w:hint="eastAsia" w:ascii="宋体" w:hAnsi="宋体" w:eastAsia="宋体" w:cs="宋体"/>
                <w:color w:val="000000"/>
                <w:szCs w:val="21"/>
              </w:rPr>
              <w:t>应急保障方案</w:t>
            </w:r>
          </w:p>
        </w:tc>
        <w:tc>
          <w:tcPr>
            <w:tcW w:w="5842" w:type="dxa"/>
            <w:tcBorders>
              <w:top w:val="single" w:color="auto" w:sz="4" w:space="0"/>
              <w:left w:val="single" w:color="auto" w:sz="4" w:space="0"/>
              <w:bottom w:val="single" w:color="auto" w:sz="4" w:space="0"/>
              <w:right w:val="single" w:color="auto" w:sz="4" w:space="0"/>
            </w:tcBorders>
            <w:noWrap/>
          </w:tcPr>
          <w:p w14:paraId="38C5B76F">
            <w:pPr>
              <w:spacing w:before="48" w:after="48"/>
              <w:rPr>
                <w:rFonts w:hint="eastAsia" w:ascii="宋体" w:hAnsi="宋体" w:eastAsia="宋体" w:cs="宋体"/>
                <w:kern w:val="0"/>
                <w:szCs w:val="21"/>
              </w:rPr>
            </w:pPr>
            <w:r>
              <w:rPr>
                <w:rFonts w:hint="eastAsia" w:ascii="宋体" w:hAnsi="宋体" w:eastAsia="宋体" w:cs="宋体"/>
                <w:color w:val="000000"/>
                <w:szCs w:val="21"/>
              </w:rPr>
              <w:t>根据投标人针对本项目制定的应急保障方案（包括但不限于：①自然灾害、②公共卫生事件、③停水、④停电、⑤防疫等情况下物资供应应急预备方案），由评委进行评分：方案包括上述全部内容，并针对具体服务内容完整详细展开阐述，符合项目实际，能涵盖采购人日常应急保障工作全部关键节点，可操作性强的得3分；方案包括上述内容，但仅针对部分具体服务内容展开阐述或阐述内容不够详细，整体具有一定的可操作性，不足部分不影响项目实施的得2分；方案仅包括上述部分内容，阐述内容简短，操作性及可行性有待提高的得1分；未提供或内容存在明显错误、内容明显不适用于本项目需求的均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1588335D">
            <w:pPr>
              <w:spacing w:before="48" w:after="48"/>
              <w:jc w:val="center"/>
              <w:rPr>
                <w:rFonts w:hint="eastAsia" w:ascii="宋体" w:hAnsi="宋体" w:eastAsia="宋体" w:cs="宋体"/>
                <w:szCs w:val="21"/>
              </w:rPr>
            </w:pPr>
            <w:r>
              <w:rPr>
                <w:rFonts w:hint="eastAsia" w:ascii="宋体" w:hAnsi="宋体" w:eastAsia="宋体" w:cs="宋体"/>
                <w:color w:val="000000"/>
                <w:szCs w:val="21"/>
              </w:rPr>
              <w:t>3</w:t>
            </w:r>
          </w:p>
        </w:tc>
      </w:tr>
      <w:tr w14:paraId="6B32B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049BB01D">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7</w:t>
            </w:r>
          </w:p>
        </w:tc>
        <w:tc>
          <w:tcPr>
            <w:tcW w:w="681" w:type="dxa"/>
            <w:vMerge w:val="continue"/>
            <w:tcBorders>
              <w:left w:val="single" w:color="auto" w:sz="4" w:space="0"/>
              <w:right w:val="single" w:color="auto" w:sz="4" w:space="0"/>
            </w:tcBorders>
            <w:noWrap/>
          </w:tcPr>
          <w:p w14:paraId="6AADCD17">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90993">
            <w:pPr>
              <w:spacing w:before="48" w:after="48"/>
              <w:jc w:val="center"/>
              <w:rPr>
                <w:rFonts w:hint="eastAsia" w:ascii="宋体" w:hAnsi="宋体" w:eastAsia="宋体" w:cs="宋体"/>
                <w:kern w:val="0"/>
                <w:szCs w:val="21"/>
              </w:rPr>
            </w:pPr>
            <w:r>
              <w:rPr>
                <w:rFonts w:hint="eastAsia" w:ascii="宋体" w:hAnsi="宋体" w:eastAsia="宋体" w:cs="宋体"/>
                <w:szCs w:val="21"/>
              </w:rPr>
              <w:t>B6.</w:t>
            </w:r>
            <w:r>
              <w:rPr>
                <w:rFonts w:hint="eastAsia" w:ascii="宋体" w:hAnsi="宋体" w:eastAsia="宋体" w:cs="宋体"/>
                <w:color w:val="000000"/>
                <w:szCs w:val="21"/>
              </w:rPr>
              <w:t>退换方案</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52722838">
            <w:pPr>
              <w:spacing w:before="48" w:after="48"/>
              <w:rPr>
                <w:rFonts w:hint="eastAsia" w:ascii="宋体" w:hAnsi="宋体" w:eastAsia="宋体" w:cs="宋体"/>
                <w:kern w:val="0"/>
                <w:szCs w:val="21"/>
              </w:rPr>
            </w:pPr>
            <w:r>
              <w:rPr>
                <w:rFonts w:hint="eastAsia" w:ascii="宋体" w:hAnsi="宋体" w:eastAsia="宋体" w:cs="宋体"/>
                <w:color w:val="000000"/>
                <w:szCs w:val="21"/>
              </w:rPr>
              <w:t>根据投标人针对本项目提供的退换方案（包括但不限于：不合格产品(含缺斤少两及质量问题等）退、换方案的情况，由评委进行评分：方案包括上述全部内容，并针对具体服务内容完整详细展开阐述，符合项目实际，可操作性强的得5分；方案包括上述内容，但仅针对部分具体服务内容展开阐述或阐述内容不够详细，整体具有一定的可操作性，不足部分不影响项目实施的得3分；方案仅包括上述部分内容，阐述内容简短，操作性及可行性有待提高的得1分；未提供或内容存在明显错误、内容明显不适用于本项目需求的均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4A1C7B5F">
            <w:pPr>
              <w:spacing w:before="48" w:after="48"/>
              <w:jc w:val="center"/>
              <w:rPr>
                <w:rFonts w:hint="eastAsia" w:ascii="宋体" w:hAnsi="宋体" w:eastAsia="宋体" w:cs="宋体"/>
                <w:szCs w:val="21"/>
              </w:rPr>
            </w:pPr>
            <w:r>
              <w:rPr>
                <w:rFonts w:hint="eastAsia" w:ascii="宋体" w:hAnsi="宋体" w:eastAsia="宋体" w:cs="宋体"/>
                <w:color w:val="000000"/>
                <w:szCs w:val="21"/>
              </w:rPr>
              <w:t>5</w:t>
            </w:r>
          </w:p>
        </w:tc>
      </w:tr>
      <w:tr w14:paraId="170A2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0C9045BA">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8</w:t>
            </w:r>
          </w:p>
        </w:tc>
        <w:tc>
          <w:tcPr>
            <w:tcW w:w="681" w:type="dxa"/>
            <w:vMerge w:val="continue"/>
            <w:tcBorders>
              <w:left w:val="single" w:color="auto" w:sz="4" w:space="0"/>
              <w:right w:val="single" w:color="auto" w:sz="4" w:space="0"/>
            </w:tcBorders>
            <w:noWrap/>
          </w:tcPr>
          <w:p w14:paraId="74182FDB">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14:paraId="026E12A5">
            <w:pPr>
              <w:spacing w:before="48" w:after="48"/>
              <w:jc w:val="center"/>
              <w:rPr>
                <w:rFonts w:hint="eastAsia" w:ascii="宋体" w:hAnsi="宋体" w:eastAsia="宋体" w:cs="宋体"/>
                <w:kern w:val="0"/>
                <w:szCs w:val="21"/>
              </w:rPr>
            </w:pPr>
            <w:r>
              <w:rPr>
                <w:rFonts w:hint="eastAsia" w:ascii="宋体" w:hAnsi="宋体" w:eastAsia="宋体" w:cs="宋体"/>
                <w:szCs w:val="21"/>
              </w:rPr>
              <w:t>B7.</w:t>
            </w:r>
            <w:r>
              <w:rPr>
                <w:rFonts w:hint="eastAsia" w:ascii="宋体" w:hAnsi="宋体" w:eastAsia="宋体" w:cs="宋体"/>
                <w:color w:val="000000"/>
                <w:szCs w:val="21"/>
              </w:rPr>
              <w:t>人员配备</w:t>
            </w:r>
          </w:p>
        </w:tc>
        <w:tc>
          <w:tcPr>
            <w:tcW w:w="5842" w:type="dxa"/>
            <w:tcBorders>
              <w:top w:val="single" w:color="auto" w:sz="4" w:space="0"/>
              <w:left w:val="single" w:color="auto" w:sz="4" w:space="0"/>
              <w:bottom w:val="single" w:color="auto" w:sz="4" w:space="0"/>
              <w:right w:val="single" w:color="auto" w:sz="4" w:space="0"/>
            </w:tcBorders>
            <w:noWrap/>
          </w:tcPr>
          <w:p w14:paraId="4B515B56">
            <w:pPr>
              <w:spacing w:before="48" w:after="48"/>
              <w:rPr>
                <w:rFonts w:hint="eastAsia" w:ascii="宋体" w:hAnsi="宋体" w:eastAsia="宋体" w:cs="宋体"/>
                <w:kern w:val="0"/>
                <w:szCs w:val="21"/>
              </w:rPr>
            </w:pPr>
            <w:r>
              <w:rPr>
                <w:rFonts w:hint="eastAsia" w:ascii="宋体" w:hAnsi="宋体" w:eastAsia="宋体" w:cs="宋体"/>
                <w:szCs w:val="21"/>
              </w:rPr>
              <w:t>B7.1</w:t>
            </w:r>
            <w:r>
              <w:rPr>
                <w:rFonts w:hint="eastAsia" w:ascii="宋体" w:hAnsi="宋体" w:eastAsia="宋体" w:cs="宋体"/>
                <w:color w:val="000000"/>
                <w:szCs w:val="21"/>
              </w:rPr>
              <w:t>投标人承诺配备4人及以上配送人员（至少包含服务管理人员1名，驾驶员1名）其中需有一名相对固定的人员，未经采购人同意，不得擅自变更的得2分，注：投标人须提供书面承诺函（格式自拟）、相应的劳动合同复印件、员工身份证明复印件、投标截止时间前六个月（含投标截止时间当月）任意一个月投标人为其缴纳的社保证明材料[注：</w:t>
            </w:r>
            <w:r>
              <w:rPr>
                <w:rFonts w:hint="eastAsia" w:ascii="宋体" w:hAnsi="宋体" w:eastAsia="宋体" w:cs="宋体"/>
                <w:color w:val="000000"/>
                <w:szCs w:val="21"/>
                <w:lang w:bidi="ar"/>
              </w:rPr>
              <w:t>若投标人为投标截止时间的当月成立的公司，可提供依法缴纳社会保障资金承诺书（格式自拟）视为满足该条件</w:t>
            </w:r>
            <w:r>
              <w:rPr>
                <w:rFonts w:hint="eastAsia" w:ascii="宋体" w:hAnsi="宋体" w:eastAsia="宋体" w:cs="宋体"/>
                <w:color w:val="000000"/>
                <w:szCs w:val="21"/>
              </w:rPr>
              <w:t>]，未提供或提供不全者不得分。注：评分项涉及的人员为同一人的不重复得分。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48F4CF4B">
            <w:pPr>
              <w:spacing w:before="48" w:after="48"/>
              <w:jc w:val="center"/>
              <w:rPr>
                <w:rFonts w:hint="eastAsia" w:ascii="宋体" w:hAnsi="宋体" w:eastAsia="宋体" w:cs="宋体"/>
                <w:szCs w:val="21"/>
                <w:lang w:val="zh-CN"/>
              </w:rPr>
            </w:pPr>
            <w:r>
              <w:rPr>
                <w:rFonts w:hint="eastAsia" w:ascii="宋体" w:hAnsi="宋体" w:eastAsia="宋体" w:cs="宋体"/>
                <w:color w:val="000000"/>
                <w:szCs w:val="21"/>
              </w:rPr>
              <w:t>2</w:t>
            </w:r>
          </w:p>
        </w:tc>
      </w:tr>
      <w:tr w14:paraId="03019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57A4E83B">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9</w:t>
            </w:r>
          </w:p>
        </w:tc>
        <w:tc>
          <w:tcPr>
            <w:tcW w:w="681" w:type="dxa"/>
            <w:vMerge w:val="continue"/>
            <w:tcBorders>
              <w:left w:val="single" w:color="auto" w:sz="4" w:space="0"/>
              <w:right w:val="single" w:color="auto" w:sz="4" w:space="0"/>
            </w:tcBorders>
            <w:noWrap/>
          </w:tcPr>
          <w:p w14:paraId="33FBC0C5">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14:paraId="5F644D68">
            <w:pPr>
              <w:rPr>
                <w:rFonts w:hint="eastAsia" w:ascii="宋体" w:hAnsi="宋体" w:eastAsia="宋体" w:cs="宋体"/>
                <w:kern w:val="0"/>
                <w:szCs w:val="21"/>
              </w:rPr>
            </w:pPr>
          </w:p>
        </w:tc>
        <w:tc>
          <w:tcPr>
            <w:tcW w:w="5842" w:type="dxa"/>
            <w:tcBorders>
              <w:top w:val="single" w:color="auto" w:sz="4" w:space="0"/>
              <w:left w:val="single" w:color="auto" w:sz="4" w:space="0"/>
              <w:bottom w:val="single" w:color="auto" w:sz="4" w:space="0"/>
              <w:right w:val="single" w:color="auto" w:sz="4" w:space="0"/>
            </w:tcBorders>
            <w:noWrap/>
          </w:tcPr>
          <w:p w14:paraId="3754A44A">
            <w:pPr>
              <w:spacing w:before="48" w:after="48"/>
              <w:rPr>
                <w:rFonts w:hint="eastAsia" w:ascii="宋体" w:hAnsi="宋体" w:eastAsia="宋体" w:cs="宋体"/>
                <w:kern w:val="0"/>
                <w:szCs w:val="21"/>
              </w:rPr>
            </w:pPr>
            <w:r>
              <w:rPr>
                <w:rFonts w:hint="eastAsia" w:ascii="宋体" w:hAnsi="宋体" w:eastAsia="宋体" w:cs="宋体"/>
                <w:szCs w:val="21"/>
              </w:rPr>
              <w:t>B7.2</w:t>
            </w:r>
            <w:r>
              <w:rPr>
                <w:rFonts w:hint="eastAsia" w:ascii="宋体" w:hAnsi="宋体" w:eastAsia="宋体" w:cs="宋体"/>
                <w:color w:val="000000"/>
                <w:szCs w:val="21"/>
              </w:rPr>
              <w:t>根据投标人提供的本项目负责人情况，由评委进行评分：项目负责人具有食品类从业经验≥5年的得3分，其他不得分。须提供从业经验相关证明材料[如合同（体现负责人信息）或业主证明材料（经业主单位盖章）等能体现对应人员的工作经验证明材料]、投标截止时间前六个月（含投标截止时间当月）任意一个月投标人为其缴纳的社保证明材料[注：</w:t>
            </w:r>
            <w:r>
              <w:rPr>
                <w:rFonts w:hint="eastAsia" w:ascii="宋体" w:hAnsi="宋体" w:eastAsia="宋体" w:cs="宋体"/>
                <w:color w:val="000000"/>
                <w:szCs w:val="21"/>
                <w:lang w:bidi="ar"/>
              </w:rPr>
              <w:t>若投标人为投标截止时间的当月成立的公司，可提供依法缴纳社会保障资金承诺书（格式自拟）视为满足该条件</w:t>
            </w:r>
            <w:r>
              <w:rPr>
                <w:rFonts w:hint="eastAsia" w:ascii="宋体" w:hAnsi="宋体" w:eastAsia="宋体" w:cs="宋体"/>
                <w:color w:val="000000"/>
                <w:szCs w:val="21"/>
              </w:rPr>
              <w:t>]，未提供或未提供不全的不得分</w:t>
            </w:r>
            <w:r>
              <w:rPr>
                <w:rFonts w:hint="eastAsia" w:ascii="宋体" w:hAnsi="宋体" w:eastAsia="宋体" w:cs="宋体"/>
                <w:color w:val="000000"/>
                <w:szCs w:val="21"/>
                <w:lang w:bidi="ar"/>
              </w:rPr>
              <w:t>。</w:t>
            </w:r>
            <w:r>
              <w:rPr>
                <w:rFonts w:hint="eastAsia" w:ascii="宋体" w:hAnsi="宋体" w:eastAsia="宋体" w:cs="宋体"/>
                <w:color w:val="000000"/>
                <w:szCs w:val="21"/>
              </w:rPr>
              <w:t>注：评分项涉及的人员为同一人的不重复得分。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7695BB1D">
            <w:pPr>
              <w:spacing w:before="48" w:after="48"/>
              <w:jc w:val="center"/>
              <w:rPr>
                <w:rFonts w:hint="eastAsia" w:ascii="宋体" w:hAnsi="宋体" w:eastAsia="宋体" w:cs="宋体"/>
                <w:szCs w:val="21"/>
              </w:rPr>
            </w:pPr>
            <w:r>
              <w:rPr>
                <w:rFonts w:hint="eastAsia" w:ascii="宋体" w:hAnsi="宋体" w:eastAsia="宋体" w:cs="宋体"/>
                <w:szCs w:val="21"/>
              </w:rPr>
              <w:t>3</w:t>
            </w:r>
          </w:p>
        </w:tc>
      </w:tr>
      <w:tr w14:paraId="1D814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2B2A8CDA">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10</w:t>
            </w:r>
          </w:p>
        </w:tc>
        <w:tc>
          <w:tcPr>
            <w:tcW w:w="681" w:type="dxa"/>
            <w:vMerge w:val="continue"/>
            <w:tcBorders>
              <w:left w:val="single" w:color="auto" w:sz="4" w:space="0"/>
              <w:right w:val="single" w:color="auto" w:sz="4" w:space="0"/>
            </w:tcBorders>
            <w:noWrap/>
          </w:tcPr>
          <w:p w14:paraId="01886126">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14:paraId="08B75C5F">
            <w:pPr>
              <w:rPr>
                <w:rFonts w:hint="eastAsia" w:ascii="宋体" w:hAnsi="宋体" w:eastAsia="宋体" w:cs="宋体"/>
                <w:kern w:val="0"/>
                <w:szCs w:val="21"/>
              </w:rPr>
            </w:pPr>
          </w:p>
        </w:tc>
        <w:tc>
          <w:tcPr>
            <w:tcW w:w="5842" w:type="dxa"/>
            <w:tcBorders>
              <w:top w:val="single" w:color="auto" w:sz="4" w:space="0"/>
              <w:left w:val="single" w:color="auto" w:sz="4" w:space="0"/>
              <w:bottom w:val="single" w:color="auto" w:sz="4" w:space="0"/>
              <w:right w:val="single" w:color="auto" w:sz="4" w:space="0"/>
            </w:tcBorders>
            <w:noWrap/>
          </w:tcPr>
          <w:p w14:paraId="2484D932">
            <w:pPr>
              <w:spacing w:before="48" w:after="48"/>
              <w:rPr>
                <w:rFonts w:hint="eastAsia" w:ascii="宋体" w:hAnsi="宋体" w:eastAsia="宋体" w:cs="宋体"/>
                <w:kern w:val="0"/>
                <w:szCs w:val="21"/>
              </w:rPr>
            </w:pPr>
            <w:r>
              <w:rPr>
                <w:rFonts w:hint="eastAsia" w:ascii="宋体" w:hAnsi="宋体" w:eastAsia="宋体" w:cs="宋体"/>
                <w:szCs w:val="21"/>
              </w:rPr>
              <w:t>B7.3</w:t>
            </w:r>
            <w:r>
              <w:rPr>
                <w:rFonts w:hint="eastAsia" w:ascii="宋体" w:hAnsi="宋体" w:eastAsia="宋体" w:cs="宋体"/>
                <w:color w:val="000000"/>
                <w:szCs w:val="21"/>
              </w:rPr>
              <w:t>投标人为本项目至少配备一名中级或以上食品检验员</w:t>
            </w:r>
            <w:r>
              <w:rPr>
                <w:rFonts w:hint="eastAsia" w:ascii="宋体" w:hAnsi="宋体" w:eastAsia="宋体" w:cs="宋体"/>
                <w:szCs w:val="21"/>
              </w:rPr>
              <w:t>（工）</w:t>
            </w:r>
            <w:r>
              <w:rPr>
                <w:rFonts w:hint="eastAsia" w:ascii="宋体" w:hAnsi="宋体" w:eastAsia="宋体" w:cs="宋体"/>
                <w:color w:val="000000"/>
                <w:szCs w:val="21"/>
              </w:rPr>
              <w:t>证书的得3分，须提供人社部门或经人社部门备案的第三方评价机构（或企业）颁发的证书复印件或官方网站查询截图、投标截止时间前六个月（含投标截止时间当月）任意一个月投标人为其缴纳的社保证明材料[注：若投标人为投标截止时间的当月成立的公司可提供依法缴纳社会保障资金承诺书（格式自拟）视为满足该条件]，未提供或提供不全的不得分。注：评分项涉及的人员为同一人的不重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1E6EC0D2">
            <w:pPr>
              <w:spacing w:before="48" w:after="48"/>
              <w:jc w:val="center"/>
              <w:rPr>
                <w:rFonts w:hint="eastAsia" w:ascii="宋体" w:hAnsi="宋体" w:eastAsia="宋体" w:cs="宋体"/>
                <w:szCs w:val="21"/>
              </w:rPr>
            </w:pPr>
            <w:r>
              <w:rPr>
                <w:rFonts w:hint="eastAsia" w:ascii="宋体" w:hAnsi="宋体" w:eastAsia="宋体" w:cs="宋体"/>
                <w:szCs w:val="21"/>
              </w:rPr>
              <w:t>3</w:t>
            </w:r>
          </w:p>
        </w:tc>
      </w:tr>
      <w:tr w14:paraId="73CAC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2601656B">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11</w:t>
            </w:r>
          </w:p>
        </w:tc>
        <w:tc>
          <w:tcPr>
            <w:tcW w:w="681" w:type="dxa"/>
            <w:vMerge w:val="continue"/>
            <w:tcBorders>
              <w:left w:val="single" w:color="auto" w:sz="4" w:space="0"/>
              <w:right w:val="single" w:color="auto" w:sz="4" w:space="0"/>
            </w:tcBorders>
            <w:noWrap/>
          </w:tcPr>
          <w:p w14:paraId="298C20CD">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noWrap/>
            <w:vAlign w:val="center"/>
          </w:tcPr>
          <w:p w14:paraId="2B9F9999">
            <w:pPr>
              <w:spacing w:before="48" w:after="48"/>
              <w:jc w:val="center"/>
              <w:rPr>
                <w:rFonts w:hint="eastAsia" w:ascii="宋体" w:hAnsi="宋体" w:eastAsia="宋体" w:cs="宋体"/>
                <w:kern w:val="0"/>
                <w:szCs w:val="21"/>
              </w:rPr>
            </w:pPr>
            <w:r>
              <w:rPr>
                <w:rFonts w:hint="eastAsia" w:ascii="宋体" w:hAnsi="宋体" w:eastAsia="宋体" w:cs="宋体"/>
                <w:szCs w:val="21"/>
              </w:rPr>
              <w:t>B8.</w:t>
            </w:r>
            <w:r>
              <w:rPr>
                <w:rFonts w:hint="eastAsia" w:ascii="宋体" w:hAnsi="宋体" w:eastAsia="宋体" w:cs="宋体"/>
                <w:color w:val="000000"/>
                <w:szCs w:val="21"/>
              </w:rPr>
              <w:t>车辆配置</w:t>
            </w:r>
          </w:p>
        </w:tc>
        <w:tc>
          <w:tcPr>
            <w:tcW w:w="5842" w:type="dxa"/>
            <w:tcBorders>
              <w:top w:val="single" w:color="auto" w:sz="4" w:space="0"/>
              <w:left w:val="single" w:color="auto" w:sz="4" w:space="0"/>
              <w:bottom w:val="single" w:color="auto" w:sz="4" w:space="0"/>
              <w:right w:val="single" w:color="auto" w:sz="4" w:space="0"/>
            </w:tcBorders>
            <w:noWrap/>
          </w:tcPr>
          <w:p w14:paraId="59CBC6B1">
            <w:pPr>
              <w:spacing w:before="48" w:after="48"/>
              <w:rPr>
                <w:rFonts w:hint="eastAsia" w:ascii="宋体" w:hAnsi="宋体" w:eastAsia="宋体" w:cs="宋体"/>
                <w:kern w:val="0"/>
                <w:szCs w:val="21"/>
              </w:rPr>
            </w:pPr>
            <w:r>
              <w:rPr>
                <w:rFonts w:hint="eastAsia" w:ascii="宋体" w:hAnsi="宋体" w:eastAsia="宋体" w:cs="宋体"/>
                <w:color w:val="000000"/>
                <w:szCs w:val="21"/>
              </w:rPr>
              <w:t>投标人在满足招标文件要求“车辆配备（2辆），其中1辆冷链车”的基础上，①增加1辆普通配送车辆的得1分；②增加1辆冷链车的得2分；本项满分3分，重复增加同一类型车辆不重复得分。须同时提供：①车辆行驶证及完整的车辆登记证复印件、车辆照片（含车辆内部照片）；②按以下情形提供的相应证明材料：a.属于自有车辆的，自有车辆所有人应与投标人一致；b.属于租赁车辆的，须提供有效期内的租赁或运输合同及租金或运费发票；c.属于无偿租赁车辆需同时提供以下材料：无偿租赁协议（明确车辆使用权归属及租赁期限覆盖服务期）；投标截止时间前六个月内无偿租赁期间的物流出仓记录；税务部门对无偿租赁事项的完税证明（若涉及增值税免税需提供免税备案文件）。[注：若租赁协议签订于投标截止当月，须提供</w:t>
            </w:r>
            <w:r>
              <w:rPr>
                <w:rFonts w:hint="eastAsia" w:ascii="宋体" w:hAnsi="宋体" w:eastAsia="宋体" w:cs="宋体"/>
                <w:szCs w:val="21"/>
                <w:lang w:bidi="ar"/>
              </w:rPr>
              <w:t>租赁协议</w:t>
            </w:r>
            <w:r>
              <w:rPr>
                <w:rFonts w:hint="eastAsia" w:ascii="宋体" w:hAnsi="宋体" w:eastAsia="宋体" w:cs="宋体"/>
                <w:color w:val="000000"/>
                <w:szCs w:val="21"/>
              </w:rPr>
              <w:t>及承诺函（承诺租赁期限覆盖服务期）]。材料未提供或提供不全的不得分。注：所有证件需在有效期内，租赁期限需覆盖本项目服务期，否则不得分。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3CA866DB">
            <w:pPr>
              <w:spacing w:before="48" w:after="48"/>
              <w:jc w:val="center"/>
              <w:rPr>
                <w:rFonts w:hint="eastAsia" w:ascii="宋体" w:hAnsi="宋体" w:eastAsia="宋体" w:cs="宋体"/>
                <w:szCs w:val="21"/>
              </w:rPr>
            </w:pPr>
            <w:r>
              <w:rPr>
                <w:rFonts w:hint="eastAsia" w:ascii="宋体" w:hAnsi="宋体" w:eastAsia="宋体" w:cs="宋体"/>
                <w:color w:val="000000"/>
                <w:szCs w:val="21"/>
              </w:rPr>
              <w:t>3</w:t>
            </w:r>
          </w:p>
        </w:tc>
      </w:tr>
      <w:tr w14:paraId="7E4FD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4E49C361">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12</w:t>
            </w:r>
          </w:p>
        </w:tc>
        <w:tc>
          <w:tcPr>
            <w:tcW w:w="681" w:type="dxa"/>
            <w:vMerge w:val="continue"/>
            <w:tcBorders>
              <w:left w:val="single" w:color="auto" w:sz="4" w:space="0"/>
              <w:right w:val="single" w:color="auto" w:sz="4" w:space="0"/>
            </w:tcBorders>
            <w:noWrap/>
          </w:tcPr>
          <w:p w14:paraId="5D3D444D">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noWrap/>
            <w:vAlign w:val="center"/>
          </w:tcPr>
          <w:p w14:paraId="222DBD4E">
            <w:pPr>
              <w:spacing w:before="48" w:after="48"/>
              <w:jc w:val="center"/>
              <w:rPr>
                <w:rFonts w:hint="eastAsia" w:ascii="宋体" w:hAnsi="宋体" w:eastAsia="宋体" w:cs="宋体"/>
                <w:kern w:val="0"/>
                <w:szCs w:val="21"/>
              </w:rPr>
            </w:pPr>
            <w:r>
              <w:rPr>
                <w:rFonts w:hint="eastAsia" w:ascii="宋体" w:hAnsi="宋体" w:eastAsia="宋体" w:cs="宋体"/>
                <w:szCs w:val="21"/>
              </w:rPr>
              <w:t>B9.</w:t>
            </w:r>
            <w:r>
              <w:rPr>
                <w:rFonts w:hint="eastAsia" w:ascii="宋体" w:hAnsi="宋体" w:eastAsia="宋体" w:cs="宋体"/>
                <w:color w:val="000000"/>
                <w:szCs w:val="21"/>
              </w:rPr>
              <w:t>设备配置</w:t>
            </w:r>
          </w:p>
        </w:tc>
        <w:tc>
          <w:tcPr>
            <w:tcW w:w="5842" w:type="dxa"/>
            <w:tcBorders>
              <w:top w:val="single" w:color="auto" w:sz="4" w:space="0"/>
              <w:left w:val="single" w:color="auto" w:sz="4" w:space="0"/>
              <w:bottom w:val="single" w:color="auto" w:sz="4" w:space="0"/>
              <w:right w:val="single" w:color="auto" w:sz="4" w:space="0"/>
            </w:tcBorders>
            <w:noWrap/>
          </w:tcPr>
          <w:p w14:paraId="50767804">
            <w:pPr>
              <w:spacing w:before="48" w:after="48"/>
              <w:rPr>
                <w:rFonts w:hint="eastAsia" w:ascii="宋体" w:hAnsi="宋体" w:eastAsia="宋体" w:cs="宋体"/>
                <w:kern w:val="0"/>
                <w:szCs w:val="21"/>
              </w:rPr>
            </w:pPr>
            <w:r>
              <w:rPr>
                <w:rFonts w:hint="eastAsia" w:ascii="宋体" w:hAnsi="宋体" w:eastAsia="宋体" w:cs="宋体"/>
                <w:szCs w:val="21"/>
                <w:lang w:bidi="ar"/>
              </w:rPr>
              <w:t>根据投标人配备的化验检测设备情况，由评委进行评分：具备重金属检测、农药残留检测、病害肉检测功能的，满足上述任意一种功能得2分，满分6分。须同时提供：①化验检测设备清单、设备实物照片、设备彩页或功能介绍；②</w:t>
            </w:r>
            <w:r>
              <w:rPr>
                <w:rFonts w:hint="eastAsia" w:ascii="宋体" w:hAnsi="宋体" w:eastAsia="宋体" w:cs="宋体"/>
                <w:color w:val="000000"/>
                <w:szCs w:val="21"/>
              </w:rPr>
              <w:t>按以下情形提供的相应证明材料：</w:t>
            </w:r>
            <w:r>
              <w:rPr>
                <w:rFonts w:hint="eastAsia" w:ascii="宋体" w:hAnsi="宋体" w:eastAsia="宋体" w:cs="宋体"/>
                <w:szCs w:val="21"/>
                <w:lang w:bidi="ar"/>
              </w:rPr>
              <w:t>a.属于自有设备的，须提供购置发票；b.属于租赁设备的，须提供租赁合同及投标截止时间前六个月内任一个月（含投标截止当月）双方租赁资金往来的证明、租金发票。c.无偿租赁检测设备需同时提供以下材料：无偿租赁协议（明确设备使用权归属及租赁期限覆盖服务期）；投标截止时间前六个月内（含投标截止时间当月）无偿租赁期间的产品检测记录；税务部门对无偿租赁事项的完税证明（若涉及增值税免税需提供免税备案文件）。[注：若租赁协议签订于投标截止当月，须提供租赁协议、租赁方检测设备所有权证明及承诺函（承诺租赁期限覆盖服务期）]。未提供或提供不全的不得分。</w:t>
            </w:r>
            <w:r>
              <w:rPr>
                <w:rFonts w:hint="eastAsia" w:ascii="宋体" w:hAnsi="宋体" w:eastAsia="宋体" w:cs="宋体"/>
                <w:color w:val="000000"/>
                <w:szCs w:val="21"/>
              </w:rPr>
              <w:t>注：租赁期限需覆盖本项目服务期，否则不得分。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24A11C77">
            <w:pPr>
              <w:spacing w:before="48" w:after="48"/>
              <w:jc w:val="center"/>
              <w:rPr>
                <w:rFonts w:hint="eastAsia" w:ascii="宋体" w:hAnsi="宋体" w:eastAsia="宋体" w:cs="宋体"/>
                <w:szCs w:val="21"/>
              </w:rPr>
            </w:pPr>
            <w:r>
              <w:rPr>
                <w:rFonts w:hint="eastAsia" w:ascii="宋体" w:hAnsi="宋体" w:eastAsia="宋体" w:cs="宋体"/>
                <w:color w:val="000000"/>
                <w:szCs w:val="21"/>
              </w:rPr>
              <w:t>6</w:t>
            </w:r>
          </w:p>
        </w:tc>
      </w:tr>
      <w:tr w14:paraId="544156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111335F7">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13</w:t>
            </w:r>
          </w:p>
        </w:tc>
        <w:tc>
          <w:tcPr>
            <w:tcW w:w="681" w:type="dxa"/>
            <w:vMerge w:val="continue"/>
            <w:tcBorders>
              <w:left w:val="single" w:color="auto" w:sz="4" w:space="0"/>
              <w:right w:val="single" w:color="auto" w:sz="4" w:space="0"/>
            </w:tcBorders>
            <w:noWrap/>
          </w:tcPr>
          <w:p w14:paraId="44981A2F">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B9877">
            <w:pPr>
              <w:spacing w:before="48" w:after="48"/>
              <w:jc w:val="center"/>
              <w:rPr>
                <w:rFonts w:hint="eastAsia" w:ascii="宋体" w:hAnsi="宋体" w:eastAsia="宋体" w:cs="宋体"/>
                <w:kern w:val="0"/>
                <w:szCs w:val="21"/>
              </w:rPr>
            </w:pPr>
            <w:r>
              <w:rPr>
                <w:rFonts w:hint="eastAsia" w:ascii="宋体" w:hAnsi="宋体" w:eastAsia="宋体" w:cs="宋体"/>
                <w:szCs w:val="21"/>
              </w:rPr>
              <w:t>B10.</w:t>
            </w:r>
            <w:r>
              <w:rPr>
                <w:rFonts w:hint="eastAsia" w:ascii="宋体" w:hAnsi="宋体" w:eastAsia="宋体" w:cs="宋体"/>
                <w:color w:val="000000"/>
                <w:szCs w:val="21"/>
              </w:rPr>
              <w:t>检测报告</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2BE9133A">
            <w:pPr>
              <w:spacing w:before="48" w:after="48"/>
              <w:rPr>
                <w:rFonts w:hint="eastAsia" w:ascii="宋体" w:hAnsi="宋体" w:eastAsia="宋体" w:cs="宋体"/>
                <w:kern w:val="0"/>
                <w:szCs w:val="21"/>
              </w:rPr>
            </w:pPr>
            <w:r>
              <w:rPr>
                <w:rFonts w:hint="eastAsia" w:ascii="宋体" w:hAnsi="宋体" w:eastAsia="宋体" w:cs="宋体"/>
                <w:color w:val="000000"/>
                <w:szCs w:val="21"/>
              </w:rPr>
              <w:t>根据投标人提供的投标截止时间前十二个月内（含投标截止时间当月），以投标人名义送检的粮油、调味品、蔬菜水果、水产品类、新鲜肉类、冻品、干货、蛋奶品类检测报告情况，由评委进行评分：任意一种品类提供一份检测报告的得1分，同品类不重复得分，满分8分。须提供第三方机构出具的封面带有CMA标识的检测合格报告复印件,未提供或提供不全或超出合同包所含品类范围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05C6AC14">
            <w:pPr>
              <w:spacing w:before="48" w:after="48"/>
              <w:jc w:val="center"/>
              <w:rPr>
                <w:rFonts w:hint="eastAsia" w:ascii="宋体" w:hAnsi="宋体" w:eastAsia="宋体" w:cs="宋体"/>
                <w:szCs w:val="21"/>
              </w:rPr>
            </w:pPr>
            <w:r>
              <w:rPr>
                <w:rFonts w:hint="eastAsia" w:ascii="宋体" w:hAnsi="宋体" w:eastAsia="宋体" w:cs="宋体"/>
                <w:color w:val="000000"/>
                <w:szCs w:val="21"/>
              </w:rPr>
              <w:t>8</w:t>
            </w:r>
          </w:p>
        </w:tc>
      </w:tr>
      <w:tr w14:paraId="23CEC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55D4CFEE">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14</w:t>
            </w:r>
          </w:p>
        </w:tc>
        <w:tc>
          <w:tcPr>
            <w:tcW w:w="681" w:type="dxa"/>
            <w:vMerge w:val="continue"/>
            <w:tcBorders>
              <w:left w:val="single" w:color="auto" w:sz="4" w:space="0"/>
              <w:right w:val="single" w:color="auto" w:sz="4" w:space="0"/>
            </w:tcBorders>
            <w:noWrap/>
          </w:tcPr>
          <w:p w14:paraId="5032D0B8">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vMerge w:val="restart"/>
            <w:tcBorders>
              <w:top w:val="single" w:color="auto" w:sz="4" w:space="0"/>
              <w:left w:val="single" w:color="auto" w:sz="4" w:space="0"/>
              <w:right w:val="single" w:color="auto" w:sz="4" w:space="0"/>
            </w:tcBorders>
            <w:shd w:val="clear" w:color="auto" w:fill="auto"/>
            <w:noWrap/>
            <w:vAlign w:val="center"/>
          </w:tcPr>
          <w:p w14:paraId="2C67DCEC">
            <w:pPr>
              <w:spacing w:before="48" w:after="48"/>
              <w:jc w:val="center"/>
              <w:rPr>
                <w:rFonts w:hint="eastAsia" w:ascii="宋体" w:hAnsi="宋体" w:eastAsia="宋体" w:cs="宋体"/>
                <w:kern w:val="0"/>
                <w:szCs w:val="21"/>
              </w:rPr>
            </w:pPr>
            <w:r>
              <w:rPr>
                <w:rFonts w:hint="eastAsia" w:ascii="宋体" w:hAnsi="宋体" w:eastAsia="宋体" w:cs="宋体"/>
                <w:szCs w:val="21"/>
              </w:rPr>
              <w:t>B11.</w:t>
            </w:r>
            <w:r>
              <w:rPr>
                <w:rFonts w:hint="eastAsia" w:ascii="宋体" w:hAnsi="宋体" w:eastAsia="宋体" w:cs="宋体"/>
                <w:color w:val="000000"/>
                <w:szCs w:val="21"/>
              </w:rPr>
              <w:t>货物储藏能力</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3559BD2B">
            <w:pPr>
              <w:pStyle w:val="16"/>
              <w:numPr>
                <w:ilvl w:val="255"/>
                <w:numId w:val="0"/>
              </w:numPr>
              <w:rPr>
                <w:rFonts w:hint="eastAsia" w:ascii="宋体" w:hAnsi="宋体" w:cs="宋体"/>
                <w:kern w:val="0"/>
                <w:szCs w:val="21"/>
              </w:rPr>
            </w:pPr>
            <w:r>
              <w:rPr>
                <w:rFonts w:hint="eastAsia" w:ascii="宋体" w:hAnsi="宋体" w:cs="宋体"/>
                <w:szCs w:val="21"/>
              </w:rPr>
              <w:t>B11.</w:t>
            </w:r>
            <w:r>
              <w:rPr>
                <w:rFonts w:hint="eastAsia" w:ascii="宋体" w:hAnsi="宋体" w:cs="宋体"/>
                <w:color w:val="000000"/>
                <w:szCs w:val="21"/>
              </w:rPr>
              <w:t>1根据投标人对投标产品自有或租赁的仓储面积（不含冷库面积），由评委进行评分：100平方米≤仓储面积＜300平方米的得2分；仓储面积≥300平方米的得4分，其余不得分。须按以下要求提供相应证明材料：①属于自有产权的，</w:t>
            </w:r>
            <w:r>
              <w:rPr>
                <w:rFonts w:hint="eastAsia" w:ascii="宋体" w:hAnsi="宋体" w:cs="宋体"/>
                <w:color w:val="000000"/>
                <w:szCs w:val="21"/>
                <w:lang w:bidi="ar"/>
              </w:rPr>
              <w:t>须</w:t>
            </w:r>
            <w:r>
              <w:rPr>
                <w:rFonts w:hint="eastAsia" w:ascii="宋体" w:hAnsi="宋体" w:cs="宋体"/>
                <w:color w:val="000000"/>
                <w:szCs w:val="21"/>
              </w:rPr>
              <w:t>提供自有产权证</w:t>
            </w:r>
            <w:r>
              <w:rPr>
                <w:rFonts w:hint="eastAsia" w:ascii="宋体" w:hAnsi="宋体" w:cs="宋体"/>
                <w:color w:val="000000"/>
                <w:szCs w:val="21"/>
                <w:lang w:bidi="ar"/>
              </w:rPr>
              <w:t>明</w:t>
            </w:r>
            <w:r>
              <w:rPr>
                <w:rFonts w:hint="eastAsia" w:ascii="宋体" w:hAnsi="宋体" w:cs="宋体"/>
                <w:color w:val="000000"/>
                <w:szCs w:val="21"/>
              </w:rPr>
              <w:t>；②属于租赁的，</w:t>
            </w:r>
            <w:r>
              <w:rPr>
                <w:rFonts w:hint="eastAsia" w:ascii="宋体" w:hAnsi="宋体" w:cs="宋体"/>
                <w:color w:val="000000"/>
                <w:szCs w:val="21"/>
                <w:lang w:bidi="ar"/>
              </w:rPr>
              <w:t>须提供有效的租赁合同、投标截止时间前三个月内任一个月（含投标截止当月）双方租赁资金往来的证明、租金发票、场所实地（含内部、外部）照片、不动产产权证明。注：若为投标截止时间当月租赁的，提供租赁合同及场所实地（含内部、外部）照片、不动产产权证明视为满足上述条件。③若为无偿租赁的，须提供有效的租赁合同、场所实地（含内部、外部）照片、不动产产权证明、税务部门对该项无偿租赁征收增值税的完税证明及投标截止时间前六个月内任意连续三个月（含投标截止时间的当月）物流出仓记录。[注：若为投标截止时间当月无偿租赁的，提供无偿租赁协议、场所实地（含内部、外部）照片、不动产产权证明</w:t>
            </w:r>
            <w:r>
              <w:rPr>
                <w:rFonts w:hint="eastAsia" w:ascii="宋体" w:hAnsi="宋体" w:cs="宋体"/>
                <w:szCs w:val="21"/>
                <w:lang w:bidi="ar"/>
              </w:rPr>
              <w:t>及承诺函（承诺租赁期限覆盖服务期）]</w:t>
            </w:r>
            <w:r>
              <w:rPr>
                <w:rFonts w:hint="eastAsia" w:ascii="宋体" w:hAnsi="宋体" w:cs="宋体"/>
                <w:color w:val="000000"/>
                <w:szCs w:val="21"/>
                <w:lang w:bidi="ar"/>
              </w:rPr>
              <w:t>。</w:t>
            </w:r>
            <w:r>
              <w:rPr>
                <w:rFonts w:hint="eastAsia" w:ascii="宋体" w:hAnsi="宋体" w:cs="宋体"/>
                <w:color w:val="000000"/>
                <w:szCs w:val="21"/>
              </w:rPr>
              <w:t>未提供或提供不齐全的不得分。注：租赁期限需覆盖本项目服务期，否则不得分。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580BDB28">
            <w:pPr>
              <w:spacing w:before="48" w:after="48"/>
              <w:jc w:val="center"/>
              <w:rPr>
                <w:rFonts w:hint="eastAsia" w:ascii="宋体" w:hAnsi="宋体" w:eastAsia="宋体" w:cs="宋体"/>
                <w:szCs w:val="21"/>
              </w:rPr>
            </w:pPr>
            <w:r>
              <w:rPr>
                <w:rFonts w:hint="eastAsia" w:ascii="宋体" w:hAnsi="宋体" w:eastAsia="宋体" w:cs="宋体"/>
                <w:color w:val="000000"/>
                <w:szCs w:val="21"/>
              </w:rPr>
              <w:t>4</w:t>
            </w:r>
          </w:p>
        </w:tc>
      </w:tr>
      <w:tr w14:paraId="6E971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32661808">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15</w:t>
            </w:r>
          </w:p>
        </w:tc>
        <w:tc>
          <w:tcPr>
            <w:tcW w:w="681" w:type="dxa"/>
            <w:vMerge w:val="continue"/>
            <w:tcBorders>
              <w:left w:val="single" w:color="auto" w:sz="4" w:space="0"/>
              <w:right w:val="single" w:color="auto" w:sz="4" w:space="0"/>
            </w:tcBorders>
            <w:noWrap/>
          </w:tcPr>
          <w:p w14:paraId="6763EAEC">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vMerge w:val="continue"/>
            <w:tcBorders>
              <w:left w:val="single" w:color="auto" w:sz="4" w:space="0"/>
              <w:bottom w:val="single" w:color="auto" w:sz="4" w:space="0"/>
              <w:right w:val="single" w:color="auto" w:sz="4" w:space="0"/>
            </w:tcBorders>
            <w:shd w:val="clear" w:color="auto" w:fill="auto"/>
            <w:noWrap/>
            <w:vAlign w:val="center"/>
          </w:tcPr>
          <w:p w14:paraId="77BE08C7">
            <w:pPr>
              <w:spacing w:before="48" w:after="48"/>
              <w:jc w:val="center"/>
              <w:rPr>
                <w:rFonts w:hint="eastAsia" w:ascii="宋体" w:hAnsi="宋体" w:eastAsia="宋体" w:cs="宋体"/>
                <w:szCs w:val="21"/>
              </w:rPr>
            </w:pP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055D1B60">
            <w:pPr>
              <w:pStyle w:val="16"/>
              <w:numPr>
                <w:ilvl w:val="255"/>
                <w:numId w:val="0"/>
              </w:numPr>
              <w:rPr>
                <w:rFonts w:hint="eastAsia" w:ascii="宋体" w:hAnsi="宋体" w:cs="宋体"/>
                <w:color w:val="000000"/>
                <w:szCs w:val="21"/>
              </w:rPr>
            </w:pPr>
            <w:r>
              <w:rPr>
                <w:rFonts w:hint="eastAsia" w:ascii="宋体" w:hAnsi="宋体" w:cs="宋体"/>
                <w:szCs w:val="21"/>
              </w:rPr>
              <w:t>B11.</w:t>
            </w:r>
            <w:r>
              <w:rPr>
                <w:rFonts w:hint="eastAsia" w:ascii="宋体" w:hAnsi="宋体" w:cs="宋体"/>
                <w:color w:val="000000"/>
                <w:szCs w:val="21"/>
              </w:rPr>
              <w:t>2根据投标人对投标产品自有或租赁的低温仓储冷库面积，由评委进行评分：50平方米≤冷库面积＜150平方米的得2分；冷库面积≥150平方米的得4分，其余不得分。投标人须同时提供：①</w:t>
            </w:r>
            <w:r>
              <w:rPr>
                <w:rFonts w:hint="eastAsia" w:ascii="宋体" w:hAnsi="宋体" w:cs="宋体"/>
                <w:color w:val="000000"/>
                <w:szCs w:val="21"/>
                <w:lang w:bidi="ar"/>
              </w:rPr>
              <w:t>作为冷藏、冷冻的仓储场所的设计图纸；②具体平方数的声明函（格式自拟）</w:t>
            </w:r>
            <w:r>
              <w:rPr>
                <w:rFonts w:hint="eastAsia" w:ascii="宋体" w:hAnsi="宋体" w:cs="宋体"/>
                <w:color w:val="000000"/>
                <w:szCs w:val="21"/>
              </w:rPr>
              <w:t>；③按以下情形提供的相应证明材料：</w:t>
            </w:r>
          </w:p>
          <w:p w14:paraId="2F6859B2">
            <w:pPr>
              <w:pStyle w:val="16"/>
              <w:numPr>
                <w:ilvl w:val="255"/>
                <w:numId w:val="0"/>
              </w:numPr>
              <w:rPr>
                <w:rFonts w:hint="eastAsia" w:ascii="宋体" w:hAnsi="宋体" w:cs="宋体"/>
                <w:color w:val="000000"/>
                <w:szCs w:val="21"/>
                <w:lang w:bidi="ar"/>
              </w:rPr>
            </w:pPr>
            <w:r>
              <w:rPr>
                <w:rFonts w:hint="eastAsia" w:ascii="宋体" w:hAnsi="宋体" w:cs="宋体"/>
                <w:color w:val="000000"/>
                <w:szCs w:val="21"/>
              </w:rPr>
              <w:t>a.属于</w:t>
            </w:r>
            <w:r>
              <w:rPr>
                <w:rFonts w:hint="eastAsia" w:ascii="宋体" w:hAnsi="宋体" w:cs="宋体"/>
                <w:color w:val="000000"/>
                <w:szCs w:val="21"/>
                <w:lang w:bidi="ar"/>
              </w:rPr>
              <w:t>自有产权的，须提供场所实地（含内部、外部）照片、不动产产权证明（或建造低温仓储仓库过程中有效的保鲜、冷藏库的制作合同、预算清单、结算发票等证明材料）。</w:t>
            </w:r>
          </w:p>
          <w:p w14:paraId="56CE6D6A">
            <w:pPr>
              <w:pStyle w:val="16"/>
              <w:numPr>
                <w:ilvl w:val="255"/>
                <w:numId w:val="0"/>
              </w:numPr>
              <w:rPr>
                <w:rFonts w:hint="eastAsia" w:ascii="宋体" w:hAnsi="宋体" w:cs="宋体"/>
                <w:color w:val="000000"/>
                <w:szCs w:val="21"/>
                <w:lang w:bidi="ar"/>
              </w:rPr>
            </w:pPr>
            <w:r>
              <w:rPr>
                <w:rFonts w:hint="eastAsia" w:ascii="宋体" w:hAnsi="宋体" w:cs="宋体"/>
                <w:color w:val="000000"/>
                <w:szCs w:val="21"/>
                <w:lang w:bidi="ar"/>
              </w:rPr>
              <w:t>b</w:t>
            </w:r>
            <w:r>
              <w:rPr>
                <w:rFonts w:hint="eastAsia" w:ascii="宋体" w:hAnsi="宋体" w:cs="宋体"/>
                <w:color w:val="000000"/>
                <w:szCs w:val="21"/>
              </w:rPr>
              <w:t>.</w:t>
            </w:r>
            <w:r>
              <w:rPr>
                <w:rFonts w:hint="eastAsia" w:ascii="宋体" w:hAnsi="宋体" w:cs="宋体"/>
                <w:color w:val="000000"/>
                <w:szCs w:val="21"/>
                <w:lang w:bidi="ar"/>
              </w:rPr>
              <w:t>属于租赁的，须提供有效的租赁合同、投标截止时间前三个月内任一个月（含投标截止当月）双方租赁资金往来的证明、租金发票、场所实地（含内部、外部）照片、不动产产权证明。若为投标截止时间当月租赁的，提供租赁合同及场所实地（含内部、外部）照片、不动产产权证明视为满足上述条件。</w:t>
            </w:r>
          </w:p>
          <w:p w14:paraId="1ED4E36C">
            <w:pPr>
              <w:pStyle w:val="16"/>
              <w:spacing w:before="48" w:after="48"/>
              <w:rPr>
                <w:rFonts w:hint="eastAsia" w:ascii="宋体" w:hAnsi="宋体" w:cs="宋体"/>
                <w:color w:val="000000"/>
                <w:szCs w:val="21"/>
                <w:lang w:bidi="ar"/>
              </w:rPr>
            </w:pPr>
            <w:r>
              <w:rPr>
                <w:rFonts w:hint="eastAsia" w:ascii="宋体" w:hAnsi="宋体" w:cs="宋体"/>
                <w:color w:val="000000"/>
                <w:szCs w:val="21"/>
                <w:lang w:bidi="ar"/>
              </w:rPr>
              <w:t>c</w:t>
            </w:r>
            <w:r>
              <w:rPr>
                <w:rFonts w:hint="eastAsia" w:ascii="宋体" w:hAnsi="宋体" w:cs="宋体"/>
                <w:color w:val="000000"/>
                <w:szCs w:val="21"/>
              </w:rPr>
              <w:t>.</w:t>
            </w:r>
            <w:r>
              <w:rPr>
                <w:rFonts w:hint="eastAsia" w:ascii="宋体" w:hAnsi="宋体" w:cs="宋体"/>
                <w:color w:val="000000"/>
                <w:szCs w:val="21"/>
                <w:lang w:bidi="ar"/>
              </w:rPr>
              <w:t>若为无偿租赁的，须提供无偿租赁协议、场所实地（含内部、外部）照片、不动产产权证明、税务部门对该项无偿租赁征收增值税的完税证明及投标截止时间前六个月内任意连续三个月（含投标截止时间的当月）物流出仓记录。[注：若为投标截止时间当月无偿租赁的，提供无偿租赁协议、场所实地（含内部、外部）照片、不动产产权证明</w:t>
            </w:r>
            <w:r>
              <w:rPr>
                <w:rFonts w:hint="eastAsia" w:ascii="宋体" w:hAnsi="宋体" w:cs="宋体"/>
                <w:szCs w:val="21"/>
                <w:lang w:bidi="ar"/>
              </w:rPr>
              <w:t>及承诺函（承诺租赁期限覆盖服务期）]</w:t>
            </w:r>
            <w:r>
              <w:rPr>
                <w:rFonts w:hint="eastAsia" w:ascii="宋体" w:hAnsi="宋体" w:cs="宋体"/>
                <w:color w:val="000000"/>
                <w:szCs w:val="21"/>
                <w:lang w:bidi="ar"/>
              </w:rPr>
              <w:t>。未提供或未提供齐全本项不得分。</w:t>
            </w:r>
            <w:r>
              <w:rPr>
                <w:rFonts w:hint="eastAsia" w:ascii="宋体" w:hAnsi="宋体" w:cs="宋体"/>
                <w:color w:val="000000"/>
                <w:szCs w:val="21"/>
              </w:rPr>
              <w:t>注：租赁期限需覆盖本项目服务期，否则不得分。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58C549A5">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4</w:t>
            </w:r>
          </w:p>
        </w:tc>
      </w:tr>
      <w:tr w14:paraId="4327F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32DE468F">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16</w:t>
            </w:r>
          </w:p>
        </w:tc>
        <w:tc>
          <w:tcPr>
            <w:tcW w:w="681" w:type="dxa"/>
            <w:vMerge w:val="continue"/>
            <w:tcBorders>
              <w:left w:val="single" w:color="auto" w:sz="4" w:space="0"/>
              <w:right w:val="single" w:color="auto" w:sz="4" w:space="0"/>
            </w:tcBorders>
            <w:noWrap/>
          </w:tcPr>
          <w:p w14:paraId="3D95A727">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tcBorders>
              <w:left w:val="single" w:color="auto" w:sz="4" w:space="0"/>
              <w:bottom w:val="single" w:color="auto" w:sz="4" w:space="0"/>
              <w:right w:val="single" w:color="auto" w:sz="4" w:space="0"/>
            </w:tcBorders>
            <w:shd w:val="clear" w:color="auto" w:fill="auto"/>
            <w:noWrap/>
            <w:vAlign w:val="center"/>
          </w:tcPr>
          <w:p w14:paraId="5448E197">
            <w:pPr>
              <w:spacing w:before="48" w:after="48"/>
              <w:jc w:val="center"/>
              <w:rPr>
                <w:rFonts w:hint="eastAsia" w:ascii="宋体" w:hAnsi="宋体" w:eastAsia="宋体" w:cs="宋体"/>
                <w:szCs w:val="21"/>
              </w:rPr>
            </w:pPr>
            <w:r>
              <w:rPr>
                <w:rFonts w:hint="eastAsia" w:ascii="宋体" w:hAnsi="宋体" w:eastAsia="宋体" w:cs="宋体"/>
                <w:szCs w:val="21"/>
              </w:rPr>
              <w:t>B12.</w:t>
            </w:r>
            <w:r>
              <w:rPr>
                <w:rFonts w:hint="eastAsia" w:ascii="宋体" w:hAnsi="宋体" w:eastAsia="宋体" w:cs="宋体"/>
                <w:color w:val="000000"/>
                <w:szCs w:val="21"/>
              </w:rPr>
              <w:t>货源追溯</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3A0268B3">
            <w:pPr>
              <w:spacing w:before="48" w:after="48"/>
              <w:rPr>
                <w:rFonts w:hint="eastAsia" w:ascii="宋体" w:hAnsi="宋体" w:eastAsia="宋体" w:cs="宋体"/>
                <w:color w:val="000000"/>
                <w:szCs w:val="21"/>
                <w:lang w:bidi="ar"/>
              </w:rPr>
            </w:pPr>
            <w:r>
              <w:rPr>
                <w:rFonts w:hint="eastAsia" w:ascii="宋体" w:hAnsi="宋体" w:eastAsia="宋体" w:cs="宋体"/>
                <w:color w:val="000000"/>
                <w:szCs w:val="21"/>
              </w:rPr>
              <w:t>投标人应按照“一品一码”的相关规定要求，运用食品可追溯系统，建立完善的可追溯体系。投标人具有食品安全追溯系统或食品追溯码的得5分，须提供相关证明材料（如：市场监督管理局监制的食品安全信息追溯码截图或系统录入信息截图等）并加盖投标人公章，未按要求提供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4A97CC98">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5</w:t>
            </w:r>
          </w:p>
        </w:tc>
      </w:tr>
      <w:tr w14:paraId="52E63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14:paraId="3CE60CB5">
            <w:pPr>
              <w:widowControl/>
              <w:overflowPunct w:val="0"/>
              <w:autoSpaceDE w:val="0"/>
              <w:autoSpaceDN w:val="0"/>
              <w:adjustRightInd w:val="0"/>
              <w:spacing w:line="360" w:lineRule="auto"/>
              <w:textAlignment w:val="baseline"/>
              <w:rPr>
                <w:rFonts w:hint="eastAsia" w:ascii="宋体" w:hAnsi="宋体" w:eastAsia="宋体" w:cs="宋体"/>
                <w:szCs w:val="21"/>
                <w:vertAlign w:val="subscript"/>
              </w:rPr>
            </w:pPr>
            <w:r>
              <w:rPr>
                <w:rFonts w:hint="eastAsia" w:ascii="宋体" w:hAnsi="宋体" w:eastAsia="宋体" w:cs="宋体"/>
                <w:szCs w:val="21"/>
              </w:rPr>
              <w:t>各投标人的技术得分=</w:t>
            </w:r>
            <w:r>
              <w:rPr>
                <w:rFonts w:hint="eastAsia" w:ascii="宋体" w:hAnsi="宋体" w:eastAsia="宋体" w:cs="宋体"/>
                <w:kern w:val="0"/>
                <w:szCs w:val="21"/>
              </w:rPr>
              <w:t>B1+B2+B3+B4+B5+B6+B7+B8+B9+B10+B11+B12；</w:t>
            </w:r>
          </w:p>
        </w:tc>
      </w:tr>
      <w:tr w14:paraId="6B493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41A105E6">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bookmarkStart w:id="65" w:name="_GoBack" w:colFirst="4" w:colLast="4"/>
            <w:r>
              <w:rPr>
                <w:rFonts w:hint="eastAsia" w:ascii="宋体" w:hAnsi="宋体" w:eastAsia="宋体" w:cs="宋体"/>
                <w:kern w:val="0"/>
                <w:szCs w:val="21"/>
              </w:rPr>
              <w:t>17</w:t>
            </w:r>
          </w:p>
        </w:tc>
        <w:tc>
          <w:tcPr>
            <w:tcW w:w="681" w:type="dxa"/>
            <w:vMerge w:val="restart"/>
            <w:tcBorders>
              <w:top w:val="single" w:color="auto" w:sz="4" w:space="0"/>
              <w:left w:val="single" w:color="auto" w:sz="4" w:space="0"/>
              <w:right w:val="single" w:color="auto" w:sz="4" w:space="0"/>
            </w:tcBorders>
            <w:noWrap/>
            <w:vAlign w:val="center"/>
          </w:tcPr>
          <w:p w14:paraId="08E302C7">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商务因素</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5BF0E">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C1.相关证书</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4FD560E0">
            <w:pPr>
              <w:spacing w:before="48" w:after="48"/>
              <w:rPr>
                <w:rFonts w:hint="eastAsia" w:ascii="宋体" w:hAnsi="宋体" w:eastAsia="宋体" w:cs="宋体"/>
                <w:color w:val="000000"/>
                <w:szCs w:val="21"/>
                <w:lang w:val="zh-CN"/>
              </w:rPr>
            </w:pPr>
            <w:r>
              <w:rPr>
                <w:rFonts w:hint="eastAsia" w:ascii="宋体" w:hAnsi="宋体" w:eastAsia="宋体" w:cs="宋体"/>
                <w:color w:val="000000"/>
                <w:szCs w:val="21"/>
              </w:rPr>
              <w:t>投标人获得有效期内的质量管理体系认证、职业健康安全管理体系认证、环境管理体系认证的，每提供其中一类证书的得2分，满分6分。【须提供有效的认证证书复印件或提供中国国家认证认可监督管理委员(http://www.cnca.gov.cn)或中国合格评定国家认可委员会(www.cnas.org.cn）官方网站的网页查询截图(截图显示包含但不限于证书编号、体系认证范围、证书状态、证书日期、组织名称、发证机构名称)并体现网址，未按要求提供不得分。】</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4E597">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6</w:t>
            </w:r>
          </w:p>
        </w:tc>
      </w:tr>
      <w:tr w14:paraId="05CC1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10AA3179">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18</w:t>
            </w:r>
          </w:p>
        </w:tc>
        <w:tc>
          <w:tcPr>
            <w:tcW w:w="681" w:type="dxa"/>
            <w:vMerge w:val="continue"/>
            <w:tcBorders>
              <w:left w:val="single" w:color="auto" w:sz="4" w:space="0"/>
              <w:right w:val="single" w:color="auto" w:sz="4" w:space="0"/>
            </w:tcBorders>
            <w:noWrap/>
            <w:vAlign w:val="center"/>
          </w:tcPr>
          <w:p w14:paraId="2A493D5E">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lang w:val="zh-CN"/>
              </w:rPr>
            </w:pP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0FEF3">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C2.案例</w:t>
            </w:r>
          </w:p>
        </w:tc>
        <w:tc>
          <w:tcPr>
            <w:tcW w:w="5842" w:type="dxa"/>
            <w:tcBorders>
              <w:top w:val="single" w:color="auto" w:sz="4" w:space="0"/>
              <w:left w:val="single" w:color="auto" w:sz="4" w:space="0"/>
              <w:bottom w:val="single" w:color="auto" w:sz="4" w:space="0"/>
              <w:right w:val="single" w:color="auto" w:sz="4" w:space="0"/>
            </w:tcBorders>
            <w:shd w:val="clear" w:color="auto" w:fill="auto"/>
            <w:noWrap/>
          </w:tcPr>
          <w:p w14:paraId="7D3F60B8">
            <w:pPr>
              <w:spacing w:before="48" w:after="48"/>
              <w:rPr>
                <w:rFonts w:hint="eastAsia" w:ascii="宋体" w:hAnsi="宋体" w:eastAsia="宋体" w:cs="宋体"/>
                <w:color w:val="000000"/>
                <w:szCs w:val="21"/>
              </w:rPr>
            </w:pPr>
            <w:r>
              <w:rPr>
                <w:rFonts w:hint="eastAsia" w:ascii="宋体" w:hAnsi="宋体" w:eastAsia="宋体" w:cs="宋体"/>
                <w:color w:val="000000"/>
                <w:szCs w:val="21"/>
              </w:rPr>
              <w:t>根据投标人提供的2022年至本项目投标截止时间止（时间以合同签订时间为准）由投标人自身已完成或正在履约的食堂食品采购或</w:t>
            </w:r>
            <w:r>
              <w:rPr>
                <w:rFonts w:hint="eastAsia" w:ascii="宋体" w:hAnsi="宋体" w:eastAsia="宋体" w:cs="宋体"/>
                <w:color w:val="000000"/>
                <w:kern w:val="0"/>
                <w:szCs w:val="21"/>
                <w:lang w:bidi="ar"/>
              </w:rPr>
              <w:t>类似食材配送服务</w:t>
            </w:r>
            <w:r>
              <w:rPr>
                <w:rFonts w:hint="eastAsia" w:ascii="宋体" w:hAnsi="宋体" w:eastAsia="宋体" w:cs="宋体"/>
                <w:color w:val="000000"/>
                <w:szCs w:val="21"/>
              </w:rPr>
              <w:t>项目的案例情况，由评委进行评分：每提供一份案例得1分，满分5分。须提供案例项目的中标/成交公告的下载网页截图并注明网址、中标/成交通知书复印件、采购合同文本复印件（至少包括采购合同关键页，合同关键页包括合同首页、标的页、金额页、时间页、双方签章页）、能证明完成合同履约或正在履约的相关证明材料（如验收合格材料或结算发票或银行转账凭证的相关证明文件复印件等），未同时提供以上各项证明材料的，该项案例不给予计分。</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BB5BC">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5</w:t>
            </w:r>
          </w:p>
        </w:tc>
      </w:tr>
      <w:tr w14:paraId="53C61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22630913">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19</w:t>
            </w:r>
          </w:p>
        </w:tc>
        <w:tc>
          <w:tcPr>
            <w:tcW w:w="681" w:type="dxa"/>
            <w:vMerge w:val="continue"/>
            <w:tcBorders>
              <w:left w:val="single" w:color="auto" w:sz="4" w:space="0"/>
              <w:right w:val="single" w:color="auto" w:sz="4" w:space="0"/>
            </w:tcBorders>
            <w:noWrap/>
            <w:vAlign w:val="center"/>
          </w:tcPr>
          <w:p w14:paraId="1B82A62F">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lang w:val="zh-CN"/>
              </w:rPr>
            </w:pPr>
          </w:p>
        </w:tc>
        <w:tc>
          <w:tcPr>
            <w:tcW w:w="1162" w:type="dxa"/>
            <w:vMerge w:val="restart"/>
            <w:tcBorders>
              <w:top w:val="single" w:color="auto" w:sz="4" w:space="0"/>
              <w:left w:val="single" w:color="auto" w:sz="4" w:space="0"/>
              <w:right w:val="single" w:color="auto" w:sz="4" w:space="0"/>
            </w:tcBorders>
            <w:noWrap/>
            <w:vAlign w:val="center"/>
          </w:tcPr>
          <w:p w14:paraId="45358626">
            <w:pPr>
              <w:spacing w:before="48" w:after="48"/>
              <w:jc w:val="center"/>
              <w:rPr>
                <w:rFonts w:hint="eastAsia" w:ascii="宋体" w:hAnsi="宋体" w:eastAsia="宋体" w:cs="宋体"/>
                <w:kern w:val="0"/>
                <w:szCs w:val="21"/>
              </w:rPr>
            </w:pPr>
            <w:r>
              <w:rPr>
                <w:rFonts w:hint="eastAsia" w:ascii="宋体" w:hAnsi="宋体" w:eastAsia="宋体" w:cs="宋体"/>
                <w:color w:val="000000"/>
                <w:szCs w:val="21"/>
              </w:rPr>
              <w:t>C3.食材安全</w:t>
            </w:r>
          </w:p>
        </w:tc>
        <w:tc>
          <w:tcPr>
            <w:tcW w:w="5842" w:type="dxa"/>
            <w:tcBorders>
              <w:top w:val="single" w:color="auto" w:sz="4" w:space="0"/>
              <w:left w:val="single" w:color="auto" w:sz="4" w:space="0"/>
              <w:bottom w:val="single" w:color="auto" w:sz="4" w:space="0"/>
              <w:right w:val="single" w:color="auto" w:sz="4" w:space="0"/>
            </w:tcBorders>
            <w:noWrap/>
          </w:tcPr>
          <w:p w14:paraId="2FF982BB">
            <w:pPr>
              <w:spacing w:before="48" w:after="48"/>
              <w:rPr>
                <w:rFonts w:hint="eastAsia" w:ascii="宋体" w:hAnsi="宋体" w:eastAsia="宋体" w:cs="宋体"/>
                <w:szCs w:val="21"/>
              </w:rPr>
            </w:pPr>
            <w:r>
              <w:rPr>
                <w:rFonts w:hint="eastAsia" w:ascii="宋体" w:hAnsi="宋体" w:eastAsia="宋体" w:cs="宋体"/>
                <w:color w:val="000000"/>
                <w:szCs w:val="21"/>
              </w:rPr>
              <w:t>C3.1投标人经营供应的食材有投保食品安全责任险且保额不低于300万元，或承诺中标后为经营供应的食材投保食品安全责任险且保额不低于300万元的得4分，须提供投保证明材料或承诺函，否则不得分，承诺函格式自拟。</w:t>
            </w:r>
          </w:p>
        </w:tc>
        <w:tc>
          <w:tcPr>
            <w:tcW w:w="838" w:type="dxa"/>
            <w:tcBorders>
              <w:top w:val="single" w:color="auto" w:sz="4" w:space="0"/>
              <w:left w:val="single" w:color="auto" w:sz="4" w:space="0"/>
              <w:bottom w:val="single" w:color="auto" w:sz="4" w:space="0"/>
              <w:right w:val="single" w:color="auto" w:sz="4" w:space="0"/>
            </w:tcBorders>
            <w:noWrap/>
            <w:vAlign w:val="center"/>
          </w:tcPr>
          <w:p w14:paraId="7BD25309">
            <w:pPr>
              <w:spacing w:before="48" w:after="48"/>
              <w:jc w:val="center"/>
              <w:rPr>
                <w:rFonts w:hint="eastAsia" w:ascii="宋体" w:hAnsi="宋体" w:eastAsia="宋体" w:cs="宋体"/>
                <w:szCs w:val="21"/>
              </w:rPr>
            </w:pPr>
            <w:r>
              <w:rPr>
                <w:rFonts w:hint="eastAsia" w:ascii="宋体" w:hAnsi="宋体" w:eastAsia="宋体" w:cs="宋体"/>
                <w:color w:val="000000"/>
                <w:szCs w:val="21"/>
              </w:rPr>
              <w:t>4</w:t>
            </w:r>
          </w:p>
        </w:tc>
      </w:tr>
      <w:tr w14:paraId="0B6981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1564DAA1">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20</w:t>
            </w:r>
          </w:p>
        </w:tc>
        <w:tc>
          <w:tcPr>
            <w:tcW w:w="681" w:type="dxa"/>
            <w:vMerge w:val="continue"/>
            <w:tcBorders>
              <w:left w:val="single" w:color="auto" w:sz="4" w:space="0"/>
              <w:right w:val="single" w:color="auto" w:sz="4" w:space="0"/>
            </w:tcBorders>
            <w:noWrap/>
            <w:vAlign w:val="center"/>
          </w:tcPr>
          <w:p w14:paraId="7CFA56B3">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lang w:val="zh-CN"/>
              </w:rPr>
            </w:pPr>
          </w:p>
        </w:tc>
        <w:tc>
          <w:tcPr>
            <w:tcW w:w="1162" w:type="dxa"/>
            <w:vMerge w:val="continue"/>
            <w:tcBorders>
              <w:left w:val="single" w:color="auto" w:sz="4" w:space="0"/>
              <w:bottom w:val="single" w:color="auto" w:sz="4" w:space="0"/>
              <w:right w:val="single" w:color="auto" w:sz="4" w:space="0"/>
            </w:tcBorders>
            <w:noWrap/>
            <w:vAlign w:val="center"/>
          </w:tcPr>
          <w:p w14:paraId="40386F13">
            <w:pPr>
              <w:spacing w:before="48" w:after="48"/>
              <w:jc w:val="center"/>
              <w:rPr>
                <w:rFonts w:hint="eastAsia" w:ascii="宋体" w:hAnsi="宋体" w:eastAsia="宋体" w:cs="宋体"/>
                <w:color w:val="000000"/>
                <w:szCs w:val="21"/>
              </w:rPr>
            </w:pPr>
          </w:p>
        </w:tc>
        <w:tc>
          <w:tcPr>
            <w:tcW w:w="5842" w:type="dxa"/>
            <w:tcBorders>
              <w:top w:val="single" w:color="auto" w:sz="4" w:space="0"/>
              <w:left w:val="single" w:color="auto" w:sz="4" w:space="0"/>
              <w:bottom w:val="single" w:color="auto" w:sz="4" w:space="0"/>
              <w:right w:val="single" w:color="auto" w:sz="4" w:space="0"/>
            </w:tcBorders>
            <w:noWrap/>
          </w:tcPr>
          <w:p w14:paraId="29C43710">
            <w:pPr>
              <w:spacing w:before="48" w:after="48"/>
              <w:rPr>
                <w:rFonts w:hint="eastAsia" w:ascii="宋体" w:hAnsi="宋体" w:eastAsia="宋体" w:cs="宋体"/>
                <w:color w:val="000000"/>
                <w:szCs w:val="21"/>
              </w:rPr>
            </w:pPr>
            <w:r>
              <w:rPr>
                <w:rFonts w:hint="eastAsia" w:ascii="宋体" w:hAnsi="宋体" w:eastAsia="宋体" w:cs="宋体"/>
                <w:color w:val="000000"/>
                <w:szCs w:val="21"/>
              </w:rPr>
              <w:t>C3.2投标人获得有效期内的食品安全管理体系认证的得4分，否则不得分。【须提供有效的认证证书复印件或提供中国国家认证认可监督管理委员(http://www.cnca.gov.cn)</w:t>
            </w:r>
            <w:r>
              <w:rPr>
                <w:rFonts w:hint="eastAsia" w:ascii="宋体" w:hAnsi="宋体" w:eastAsia="宋体" w:cs="宋体"/>
                <w:color w:val="000000"/>
                <w:kern w:val="0"/>
                <w:szCs w:val="21"/>
                <w:lang w:bidi="ar"/>
              </w:rPr>
              <w:t>或中国合格评定国家认可委员会(www.cnas.org.cn）</w:t>
            </w:r>
            <w:r>
              <w:rPr>
                <w:rFonts w:hint="eastAsia" w:ascii="宋体" w:hAnsi="宋体" w:eastAsia="宋体" w:cs="宋体"/>
                <w:color w:val="000000"/>
                <w:szCs w:val="21"/>
              </w:rPr>
              <w:t>网站的网页查询截图(截图显示包含但不限于证书编号、体系认证范围、证书状态、证书日期、组织名称、发证机构名称)并体现网址，未按要求提供不得分。】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2F4F272E">
            <w:pPr>
              <w:spacing w:before="48" w:after="48"/>
              <w:jc w:val="center"/>
              <w:rPr>
                <w:rFonts w:hint="eastAsia" w:ascii="宋体" w:hAnsi="宋体" w:eastAsia="宋体" w:cs="宋体"/>
                <w:color w:val="000000"/>
                <w:szCs w:val="21"/>
              </w:rPr>
            </w:pPr>
            <w:r>
              <w:rPr>
                <w:rFonts w:hint="eastAsia" w:ascii="宋体" w:hAnsi="宋体" w:eastAsia="宋体" w:cs="宋体"/>
                <w:color w:val="000000"/>
                <w:szCs w:val="21"/>
              </w:rPr>
              <w:t>4</w:t>
            </w:r>
          </w:p>
        </w:tc>
      </w:tr>
      <w:tr w14:paraId="1C847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486446DA">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21</w:t>
            </w:r>
          </w:p>
        </w:tc>
        <w:tc>
          <w:tcPr>
            <w:tcW w:w="681" w:type="dxa"/>
            <w:vMerge w:val="continue"/>
            <w:tcBorders>
              <w:left w:val="single" w:color="auto" w:sz="4" w:space="0"/>
              <w:right w:val="single" w:color="auto" w:sz="4" w:space="0"/>
            </w:tcBorders>
            <w:noWrap/>
            <w:vAlign w:val="center"/>
          </w:tcPr>
          <w:p w14:paraId="64CB1E7E">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lang w:val="zh-CN"/>
              </w:rPr>
            </w:pP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14:paraId="0FDA3A23">
            <w:pPr>
              <w:spacing w:before="48" w:after="48"/>
              <w:jc w:val="center"/>
              <w:rPr>
                <w:rFonts w:hint="eastAsia" w:ascii="宋体" w:hAnsi="宋体" w:eastAsia="宋体" w:cs="宋体"/>
                <w:kern w:val="0"/>
                <w:szCs w:val="21"/>
              </w:rPr>
            </w:pPr>
            <w:r>
              <w:rPr>
                <w:rFonts w:hint="eastAsia" w:ascii="宋体" w:hAnsi="宋体" w:eastAsia="宋体" w:cs="宋体"/>
                <w:color w:val="000000"/>
                <w:szCs w:val="21"/>
              </w:rPr>
              <w:t>C4.退换及应急（临时）补货</w:t>
            </w:r>
          </w:p>
        </w:tc>
        <w:tc>
          <w:tcPr>
            <w:tcW w:w="5842" w:type="dxa"/>
            <w:tcBorders>
              <w:top w:val="single" w:color="auto" w:sz="4" w:space="0"/>
              <w:left w:val="single" w:color="auto" w:sz="4" w:space="0"/>
              <w:bottom w:val="single" w:color="auto" w:sz="4" w:space="0"/>
              <w:right w:val="single" w:color="auto" w:sz="4" w:space="0"/>
            </w:tcBorders>
            <w:noWrap/>
          </w:tcPr>
          <w:p w14:paraId="66D44284">
            <w:pPr>
              <w:spacing w:before="48" w:after="48"/>
              <w:rPr>
                <w:rFonts w:hint="eastAsia" w:ascii="宋体" w:hAnsi="宋体" w:eastAsia="宋体" w:cs="宋体"/>
                <w:szCs w:val="21"/>
              </w:rPr>
            </w:pPr>
            <w:r>
              <w:rPr>
                <w:rFonts w:hint="eastAsia" w:ascii="宋体" w:hAnsi="宋体" w:eastAsia="宋体" w:cs="宋体"/>
                <w:color w:val="000000"/>
                <w:szCs w:val="21"/>
              </w:rPr>
              <w:t>C4.1投标人承诺“全年无休、全天候供货和服务，能及时退货、换货、补货”的得3分，投标人须提供承诺函（格式自拟），未按以上要求提供承诺的不得分。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4CB6F1F8">
            <w:pPr>
              <w:spacing w:before="48" w:after="48"/>
              <w:jc w:val="center"/>
              <w:rPr>
                <w:rFonts w:hint="eastAsia" w:ascii="宋体" w:hAnsi="宋体" w:eastAsia="宋体" w:cs="宋体"/>
                <w:szCs w:val="21"/>
              </w:rPr>
            </w:pPr>
            <w:r>
              <w:rPr>
                <w:rFonts w:hint="eastAsia" w:ascii="宋体" w:hAnsi="宋体" w:eastAsia="宋体" w:cs="宋体"/>
                <w:color w:val="000000"/>
                <w:szCs w:val="21"/>
              </w:rPr>
              <w:t>3</w:t>
            </w:r>
          </w:p>
        </w:tc>
      </w:tr>
      <w:tr w14:paraId="0530F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14:paraId="7346F73F">
            <w:pPr>
              <w:widowControl/>
              <w:overflowPunct w:val="0"/>
              <w:autoSpaceDE w:val="0"/>
              <w:autoSpaceDN w:val="0"/>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22</w:t>
            </w:r>
          </w:p>
        </w:tc>
        <w:tc>
          <w:tcPr>
            <w:tcW w:w="681" w:type="dxa"/>
            <w:vMerge w:val="continue"/>
            <w:tcBorders>
              <w:left w:val="single" w:color="auto" w:sz="4" w:space="0"/>
              <w:right w:val="single" w:color="auto" w:sz="4" w:space="0"/>
            </w:tcBorders>
            <w:noWrap/>
          </w:tcPr>
          <w:p w14:paraId="6B6B23A5">
            <w:pPr>
              <w:widowControl/>
              <w:overflowPunct w:val="0"/>
              <w:autoSpaceDE w:val="0"/>
              <w:autoSpaceDN w:val="0"/>
              <w:adjustRightInd w:val="0"/>
              <w:spacing w:line="360" w:lineRule="auto"/>
              <w:jc w:val="left"/>
              <w:textAlignment w:val="baseline"/>
              <w:rPr>
                <w:rFonts w:hint="eastAsia" w:ascii="宋体" w:hAnsi="宋体" w:eastAsia="宋体" w:cs="宋体"/>
                <w:kern w:val="0"/>
                <w:szCs w:val="21"/>
                <w:lang w:val="zh-CN"/>
              </w:rPr>
            </w:p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14:paraId="003CF10D">
            <w:pPr>
              <w:rPr>
                <w:rFonts w:hint="eastAsia" w:ascii="宋体" w:hAnsi="宋体" w:eastAsia="宋体" w:cs="宋体"/>
                <w:kern w:val="0"/>
                <w:szCs w:val="21"/>
              </w:rPr>
            </w:pPr>
          </w:p>
        </w:tc>
        <w:tc>
          <w:tcPr>
            <w:tcW w:w="5842" w:type="dxa"/>
            <w:tcBorders>
              <w:top w:val="single" w:color="auto" w:sz="4" w:space="0"/>
              <w:left w:val="single" w:color="auto" w:sz="4" w:space="0"/>
              <w:bottom w:val="single" w:color="auto" w:sz="4" w:space="0"/>
              <w:right w:val="single" w:color="auto" w:sz="4" w:space="0"/>
            </w:tcBorders>
            <w:noWrap/>
          </w:tcPr>
          <w:p w14:paraId="337BEEDF">
            <w:pPr>
              <w:pStyle w:val="16"/>
              <w:numPr>
                <w:ilvl w:val="255"/>
                <w:numId w:val="0"/>
              </w:numPr>
              <w:spacing w:before="48" w:after="48"/>
              <w:rPr>
                <w:rFonts w:hint="eastAsia" w:ascii="宋体" w:hAnsi="宋体" w:cs="宋体"/>
                <w:kern w:val="0"/>
                <w:szCs w:val="21"/>
              </w:rPr>
            </w:pPr>
            <w:r>
              <w:rPr>
                <w:rFonts w:hint="eastAsia" w:ascii="宋体" w:hAnsi="宋体" w:cs="宋体"/>
                <w:color w:val="000000"/>
                <w:szCs w:val="21"/>
              </w:rPr>
              <w:t>C4.2为应急（临时）补货方便，投标人承诺应急（临时）补货响应配送时间在20分钟内（含），且每天无条件响应应急（临时）配送次数在3次（含）以上的得3分。</w:t>
            </w:r>
            <w:r>
              <w:rPr>
                <w:rFonts w:hint="eastAsia" w:ascii="宋体" w:hAnsi="宋体" w:cs="宋体"/>
                <w:color w:val="000000"/>
                <w:szCs w:val="21"/>
                <w:lang w:val="en-US" w:eastAsia="zh-CN"/>
              </w:rPr>
              <w:t>须提供承诺函（格式自拟），未提供的不得分。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14:paraId="4B647F55">
            <w:pPr>
              <w:jc w:val="center"/>
              <w:rPr>
                <w:rFonts w:hint="eastAsia" w:ascii="宋体" w:hAnsi="宋体" w:eastAsia="宋体" w:cs="宋体"/>
                <w:szCs w:val="21"/>
              </w:rPr>
            </w:pPr>
            <w:r>
              <w:rPr>
                <w:rFonts w:hint="eastAsia" w:ascii="宋体" w:hAnsi="宋体" w:eastAsia="宋体" w:cs="宋体"/>
                <w:szCs w:val="21"/>
              </w:rPr>
              <w:t>3</w:t>
            </w:r>
          </w:p>
        </w:tc>
      </w:tr>
      <w:bookmarkEnd w:id="65"/>
      <w:tr w14:paraId="55A27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14:paraId="2B88399D">
            <w:pPr>
              <w:widowControl/>
              <w:overflowPunct w:val="0"/>
              <w:autoSpaceDE w:val="0"/>
              <w:autoSpaceDN w:val="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各投标人的商务得分=C1</w:t>
            </w:r>
            <w:r>
              <w:rPr>
                <w:rFonts w:hint="eastAsia" w:ascii="宋体" w:hAnsi="宋体" w:eastAsia="宋体" w:cs="宋体"/>
                <w:kern w:val="0"/>
                <w:szCs w:val="21"/>
              </w:rPr>
              <w:t>+</w:t>
            </w:r>
            <w:r>
              <w:rPr>
                <w:rFonts w:hint="eastAsia" w:ascii="宋体" w:hAnsi="宋体" w:eastAsia="宋体" w:cs="宋体"/>
                <w:szCs w:val="21"/>
              </w:rPr>
              <w:t>C2</w:t>
            </w:r>
            <w:r>
              <w:rPr>
                <w:rFonts w:hint="eastAsia" w:ascii="宋体" w:hAnsi="宋体" w:eastAsia="宋体" w:cs="宋体"/>
                <w:kern w:val="0"/>
                <w:szCs w:val="21"/>
              </w:rPr>
              <w:t>+</w:t>
            </w:r>
            <w:r>
              <w:rPr>
                <w:rFonts w:hint="eastAsia" w:ascii="宋体" w:hAnsi="宋体" w:eastAsia="宋体" w:cs="宋体"/>
                <w:szCs w:val="21"/>
              </w:rPr>
              <w:t>C3</w:t>
            </w:r>
            <w:r>
              <w:rPr>
                <w:rFonts w:hint="eastAsia" w:ascii="宋体" w:hAnsi="宋体" w:eastAsia="宋体" w:cs="宋体"/>
                <w:kern w:val="0"/>
                <w:szCs w:val="21"/>
              </w:rPr>
              <w:t>+</w:t>
            </w:r>
            <w:r>
              <w:rPr>
                <w:rFonts w:hint="eastAsia" w:ascii="宋体" w:hAnsi="宋体" w:eastAsia="宋体" w:cs="宋体"/>
                <w:szCs w:val="21"/>
              </w:rPr>
              <w:t>C4</w:t>
            </w:r>
          </w:p>
        </w:tc>
      </w:tr>
      <w:tr w14:paraId="45089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14:paraId="6B8A43F4">
            <w:pPr>
              <w:widowControl/>
              <w:overflowPunct w:val="0"/>
              <w:autoSpaceDE w:val="0"/>
              <w:autoSpaceDN w:val="0"/>
              <w:adjustRightInd w:val="0"/>
              <w:spacing w:line="360" w:lineRule="auto"/>
              <w:textAlignment w:val="baseline"/>
              <w:rPr>
                <w:rFonts w:hint="eastAsia" w:ascii="宋体" w:hAnsi="宋体" w:eastAsia="宋体" w:cs="宋体"/>
                <w:szCs w:val="21"/>
              </w:rPr>
            </w:pPr>
            <w:r>
              <w:rPr>
                <w:rFonts w:hint="eastAsia" w:ascii="宋体" w:hAnsi="宋体" w:eastAsia="宋体" w:cs="宋体"/>
                <w:snapToGrid w:val="0"/>
                <w:kern w:val="0"/>
                <w:szCs w:val="21"/>
              </w:rPr>
              <w:t>各投标人的最终得分=A+B+C</w:t>
            </w:r>
          </w:p>
        </w:tc>
      </w:tr>
    </w:tbl>
    <w:p w14:paraId="094011A0">
      <w:pPr>
        <w:topLinePunct/>
        <w:autoSpaceDE w:val="0"/>
        <w:autoSpaceDN w:val="0"/>
        <w:spacing w:line="360" w:lineRule="auto"/>
        <w:ind w:firstLine="420" w:firstLineChars="200"/>
        <w:rPr>
          <w:rFonts w:hint="eastAsia" w:ascii="宋体" w:hAnsi="宋体" w:eastAsia="宋体" w:cs="宋体"/>
          <w:sz w:val="24"/>
        </w:rPr>
      </w:pPr>
      <w:r>
        <w:rPr>
          <w:rFonts w:hint="eastAsia" w:ascii="宋体" w:hAnsi="宋体" w:eastAsia="宋体" w:cs="宋体"/>
          <w:szCs w:val="21"/>
        </w:rPr>
        <w:t>2.3 落实政府采购政策进行价格调整的规则：</w:t>
      </w:r>
    </w:p>
    <w:tbl>
      <w:tblPr>
        <w:tblStyle w:val="30"/>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9"/>
        <w:gridCol w:w="2319"/>
        <w:gridCol w:w="4746"/>
      </w:tblGrid>
      <w:tr w14:paraId="2DF67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9" w:type="dxa"/>
            <w:vAlign w:val="center"/>
          </w:tcPr>
          <w:p w14:paraId="0A4E1891">
            <w:pPr>
              <w:pStyle w:val="73"/>
              <w:widowControl w:val="0"/>
              <w:spacing w:line="360" w:lineRule="auto"/>
              <w:jc w:val="center"/>
              <w:rPr>
                <w:rFonts w:ascii="宋体" w:hAnsi="宋体" w:cs="宋体"/>
                <w:b/>
                <w:kern w:val="2"/>
                <w:sz w:val="21"/>
                <w:szCs w:val="21"/>
              </w:rPr>
            </w:pPr>
            <w:r>
              <w:rPr>
                <w:rFonts w:ascii="宋体" w:hAnsi="宋体" w:cs="宋体"/>
                <w:b/>
                <w:kern w:val="2"/>
                <w:sz w:val="21"/>
                <w:szCs w:val="21"/>
              </w:rPr>
              <w:t>政府采购政策</w:t>
            </w:r>
          </w:p>
        </w:tc>
        <w:tc>
          <w:tcPr>
            <w:tcW w:w="2319" w:type="dxa"/>
            <w:vAlign w:val="center"/>
          </w:tcPr>
          <w:p w14:paraId="335E184D">
            <w:pPr>
              <w:pStyle w:val="73"/>
              <w:widowControl w:val="0"/>
              <w:spacing w:line="360" w:lineRule="auto"/>
              <w:jc w:val="center"/>
              <w:rPr>
                <w:rFonts w:ascii="宋体" w:hAnsi="宋体" w:cs="宋体"/>
                <w:b/>
                <w:kern w:val="2"/>
                <w:sz w:val="21"/>
                <w:szCs w:val="21"/>
              </w:rPr>
            </w:pPr>
            <w:r>
              <w:rPr>
                <w:rFonts w:ascii="宋体" w:hAnsi="宋体" w:cs="宋体"/>
                <w:b/>
                <w:kern w:val="2"/>
                <w:sz w:val="21"/>
                <w:szCs w:val="21"/>
              </w:rPr>
              <w:t>价格扣除规则</w:t>
            </w:r>
          </w:p>
        </w:tc>
        <w:tc>
          <w:tcPr>
            <w:tcW w:w="4746" w:type="dxa"/>
            <w:vAlign w:val="center"/>
          </w:tcPr>
          <w:p w14:paraId="29B09AF4">
            <w:pPr>
              <w:pStyle w:val="73"/>
              <w:widowControl w:val="0"/>
              <w:spacing w:line="360" w:lineRule="auto"/>
              <w:jc w:val="center"/>
              <w:rPr>
                <w:rFonts w:ascii="宋体" w:hAnsi="宋体" w:cs="宋体"/>
                <w:b/>
                <w:kern w:val="2"/>
                <w:sz w:val="21"/>
                <w:szCs w:val="21"/>
              </w:rPr>
            </w:pPr>
            <w:r>
              <w:rPr>
                <w:rFonts w:ascii="宋体" w:hAnsi="宋体" w:cs="宋体"/>
                <w:b/>
                <w:kern w:val="2"/>
                <w:sz w:val="21"/>
                <w:szCs w:val="21"/>
              </w:rPr>
              <w:t>享受价格扣除的条件</w:t>
            </w:r>
          </w:p>
        </w:tc>
      </w:tr>
      <w:tr w14:paraId="4412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19" w:type="dxa"/>
            <w:vAlign w:val="center"/>
          </w:tcPr>
          <w:p w14:paraId="00C6BDDA">
            <w:pPr>
              <w:pStyle w:val="73"/>
              <w:widowControl w:val="0"/>
              <w:jc w:val="center"/>
              <w:rPr>
                <w:rFonts w:ascii="宋体" w:hAnsi="宋体" w:cs="宋体"/>
                <w:sz w:val="21"/>
                <w:szCs w:val="21"/>
              </w:rPr>
            </w:pPr>
            <w:r>
              <w:rPr>
                <w:rFonts w:ascii="宋体" w:hAnsi="宋体" w:cs="宋体"/>
                <w:sz w:val="21"/>
                <w:szCs w:val="21"/>
              </w:rPr>
              <w:t>节约能源政策</w:t>
            </w:r>
          </w:p>
        </w:tc>
        <w:tc>
          <w:tcPr>
            <w:tcW w:w="7065" w:type="dxa"/>
            <w:gridSpan w:val="2"/>
            <w:tcBorders>
              <w:bottom w:val="single" w:color="auto" w:sz="4" w:space="0"/>
            </w:tcBorders>
            <w:vAlign w:val="center"/>
          </w:tcPr>
          <w:p w14:paraId="375E05AB">
            <w:pPr>
              <w:pStyle w:val="73"/>
              <w:widowControl w:val="0"/>
              <w:jc w:val="center"/>
              <w:rPr>
                <w:rFonts w:ascii="宋体" w:hAnsi="宋体" w:cs="宋体"/>
                <w:sz w:val="21"/>
                <w:szCs w:val="21"/>
              </w:rPr>
            </w:pPr>
            <w:r>
              <w:rPr>
                <w:rFonts w:ascii="宋体" w:hAnsi="宋体" w:cs="宋体"/>
                <w:sz w:val="21"/>
                <w:szCs w:val="21"/>
              </w:rPr>
              <w:t>本项目不适用</w:t>
            </w:r>
          </w:p>
        </w:tc>
      </w:tr>
      <w:tr w14:paraId="06725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919" w:type="dxa"/>
            <w:vAlign w:val="center"/>
          </w:tcPr>
          <w:p w14:paraId="55F447F0">
            <w:pPr>
              <w:pStyle w:val="73"/>
              <w:widowControl w:val="0"/>
              <w:jc w:val="center"/>
              <w:rPr>
                <w:rFonts w:ascii="宋体" w:hAnsi="宋体" w:cs="宋体"/>
                <w:sz w:val="21"/>
                <w:szCs w:val="21"/>
              </w:rPr>
            </w:pPr>
            <w:r>
              <w:rPr>
                <w:rFonts w:ascii="宋体" w:hAnsi="宋体" w:cs="宋体"/>
                <w:sz w:val="21"/>
                <w:szCs w:val="21"/>
              </w:rPr>
              <w:t>保护环境政策</w:t>
            </w:r>
          </w:p>
        </w:tc>
        <w:tc>
          <w:tcPr>
            <w:tcW w:w="7065" w:type="dxa"/>
            <w:gridSpan w:val="2"/>
            <w:tcBorders>
              <w:top w:val="single" w:color="auto" w:sz="4" w:space="0"/>
            </w:tcBorders>
            <w:vAlign w:val="center"/>
          </w:tcPr>
          <w:p w14:paraId="2B3D7200">
            <w:pPr>
              <w:pStyle w:val="73"/>
              <w:widowControl w:val="0"/>
              <w:jc w:val="center"/>
              <w:rPr>
                <w:rFonts w:ascii="宋体" w:hAnsi="宋体" w:cs="宋体"/>
                <w:sz w:val="21"/>
                <w:szCs w:val="21"/>
              </w:rPr>
            </w:pPr>
            <w:r>
              <w:rPr>
                <w:rFonts w:ascii="宋体" w:hAnsi="宋体" w:cs="宋体"/>
                <w:sz w:val="21"/>
                <w:szCs w:val="21"/>
              </w:rPr>
              <w:t>本项目不适用</w:t>
            </w:r>
          </w:p>
        </w:tc>
      </w:tr>
      <w:tr w14:paraId="72F7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919" w:type="dxa"/>
            <w:vAlign w:val="center"/>
          </w:tcPr>
          <w:p w14:paraId="5CB0B5C6">
            <w:pPr>
              <w:pStyle w:val="73"/>
              <w:widowControl w:val="0"/>
              <w:jc w:val="center"/>
              <w:rPr>
                <w:rFonts w:ascii="宋体" w:hAnsi="宋体" w:cs="宋体"/>
                <w:sz w:val="21"/>
                <w:szCs w:val="21"/>
              </w:rPr>
            </w:pPr>
            <w:r>
              <w:rPr>
                <w:rFonts w:ascii="宋体" w:hAnsi="宋体" w:cs="宋体"/>
                <w:sz w:val="21"/>
                <w:szCs w:val="21"/>
              </w:rPr>
              <w:t>促进中小企业</w:t>
            </w:r>
          </w:p>
          <w:p w14:paraId="680F19A5">
            <w:pPr>
              <w:pStyle w:val="73"/>
              <w:widowControl w:val="0"/>
              <w:jc w:val="center"/>
              <w:rPr>
                <w:rFonts w:ascii="宋体" w:hAnsi="宋体" w:cs="宋体"/>
                <w:sz w:val="21"/>
                <w:szCs w:val="21"/>
              </w:rPr>
            </w:pPr>
            <w:r>
              <w:rPr>
                <w:rFonts w:ascii="宋体" w:hAnsi="宋体" w:cs="宋体"/>
                <w:sz w:val="21"/>
                <w:szCs w:val="21"/>
              </w:rPr>
              <w:t>发展政策</w:t>
            </w:r>
          </w:p>
        </w:tc>
        <w:tc>
          <w:tcPr>
            <w:tcW w:w="7065" w:type="dxa"/>
            <w:gridSpan w:val="2"/>
            <w:tcBorders>
              <w:top w:val="single" w:color="auto" w:sz="4" w:space="0"/>
            </w:tcBorders>
            <w:vAlign w:val="center"/>
          </w:tcPr>
          <w:p w14:paraId="4FDC2025">
            <w:pPr>
              <w:pStyle w:val="73"/>
              <w:widowControl w:val="0"/>
              <w:jc w:val="center"/>
              <w:rPr>
                <w:rFonts w:ascii="宋体" w:hAnsi="宋体" w:cs="宋体"/>
                <w:sz w:val="21"/>
                <w:szCs w:val="21"/>
              </w:rPr>
            </w:pPr>
            <w:r>
              <w:rPr>
                <w:rFonts w:ascii="宋体" w:hAnsi="宋体" w:cs="宋体"/>
                <w:sz w:val="21"/>
                <w:szCs w:val="21"/>
              </w:rPr>
              <w:t>本项目为专门面向中小企业采购，价格扣除不适用。</w:t>
            </w:r>
          </w:p>
        </w:tc>
      </w:tr>
      <w:tr w14:paraId="1E23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919" w:type="dxa"/>
            <w:vAlign w:val="center"/>
          </w:tcPr>
          <w:p w14:paraId="3CC83229">
            <w:pPr>
              <w:pStyle w:val="73"/>
              <w:widowControl w:val="0"/>
              <w:jc w:val="center"/>
              <w:rPr>
                <w:rFonts w:ascii="宋体" w:hAnsi="宋体" w:cs="宋体"/>
                <w:sz w:val="21"/>
                <w:szCs w:val="21"/>
              </w:rPr>
            </w:pPr>
            <w:r>
              <w:rPr>
                <w:rFonts w:ascii="宋体" w:hAnsi="宋体" w:cs="宋体"/>
                <w:sz w:val="21"/>
                <w:szCs w:val="21"/>
              </w:rPr>
              <w:t>促进残疾人就业政策</w:t>
            </w:r>
          </w:p>
        </w:tc>
        <w:tc>
          <w:tcPr>
            <w:tcW w:w="7065" w:type="dxa"/>
            <w:gridSpan w:val="2"/>
            <w:tcBorders>
              <w:top w:val="single" w:color="auto" w:sz="4" w:space="0"/>
            </w:tcBorders>
            <w:vAlign w:val="center"/>
          </w:tcPr>
          <w:p w14:paraId="2369F6EA">
            <w:pPr>
              <w:pStyle w:val="73"/>
              <w:widowControl w:val="0"/>
              <w:jc w:val="center"/>
              <w:rPr>
                <w:rFonts w:ascii="宋体" w:hAnsi="宋体" w:cs="宋体"/>
                <w:sz w:val="21"/>
                <w:szCs w:val="21"/>
              </w:rPr>
            </w:pPr>
            <w:r>
              <w:rPr>
                <w:rFonts w:ascii="宋体" w:hAnsi="宋体" w:cs="宋体"/>
                <w:sz w:val="21"/>
                <w:szCs w:val="21"/>
              </w:rPr>
              <w:t>本项目为专门面向中小企业采购，价格扣除不适用。</w:t>
            </w:r>
          </w:p>
        </w:tc>
      </w:tr>
      <w:tr w14:paraId="17411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919" w:type="dxa"/>
            <w:vAlign w:val="center"/>
          </w:tcPr>
          <w:p w14:paraId="594DDBAD">
            <w:pPr>
              <w:pStyle w:val="73"/>
              <w:widowControl w:val="0"/>
              <w:jc w:val="center"/>
              <w:rPr>
                <w:rFonts w:ascii="宋体" w:hAnsi="宋体" w:cs="宋体"/>
                <w:sz w:val="21"/>
                <w:szCs w:val="21"/>
              </w:rPr>
            </w:pPr>
            <w:r>
              <w:rPr>
                <w:rFonts w:ascii="宋体" w:hAnsi="宋体" w:cs="宋体"/>
                <w:sz w:val="21"/>
                <w:szCs w:val="21"/>
              </w:rPr>
              <w:t>支持监狱企业</w:t>
            </w:r>
          </w:p>
          <w:p w14:paraId="788F5F61">
            <w:pPr>
              <w:pStyle w:val="73"/>
              <w:widowControl w:val="0"/>
              <w:jc w:val="center"/>
              <w:rPr>
                <w:rFonts w:ascii="宋体" w:hAnsi="宋体" w:cs="宋体"/>
                <w:sz w:val="21"/>
                <w:szCs w:val="21"/>
              </w:rPr>
            </w:pPr>
            <w:r>
              <w:rPr>
                <w:rFonts w:ascii="宋体" w:hAnsi="宋体" w:cs="宋体"/>
                <w:sz w:val="21"/>
                <w:szCs w:val="21"/>
              </w:rPr>
              <w:t>发展政策</w:t>
            </w:r>
          </w:p>
        </w:tc>
        <w:tc>
          <w:tcPr>
            <w:tcW w:w="7065" w:type="dxa"/>
            <w:gridSpan w:val="2"/>
            <w:tcBorders>
              <w:top w:val="single" w:color="auto" w:sz="4" w:space="0"/>
            </w:tcBorders>
            <w:vAlign w:val="center"/>
          </w:tcPr>
          <w:p w14:paraId="4210CFB7">
            <w:pPr>
              <w:pStyle w:val="73"/>
              <w:widowControl w:val="0"/>
              <w:jc w:val="center"/>
              <w:rPr>
                <w:rFonts w:ascii="宋体" w:hAnsi="宋体" w:cs="宋体"/>
                <w:sz w:val="21"/>
                <w:szCs w:val="21"/>
              </w:rPr>
            </w:pPr>
            <w:r>
              <w:rPr>
                <w:rFonts w:ascii="宋体" w:hAnsi="宋体" w:cs="宋体"/>
                <w:sz w:val="21"/>
                <w:szCs w:val="21"/>
              </w:rPr>
              <w:t>本项目为专门面向中小企业采购，价格扣除不适用。</w:t>
            </w:r>
          </w:p>
        </w:tc>
      </w:tr>
    </w:tbl>
    <w:p w14:paraId="2C16996C">
      <w:pPr>
        <w:pStyle w:val="73"/>
        <w:widowControl w:val="0"/>
        <w:spacing w:line="360" w:lineRule="auto"/>
        <w:ind w:firstLine="420" w:firstLineChars="200"/>
        <w:jc w:val="both"/>
        <w:rPr>
          <w:rFonts w:ascii="宋体" w:hAnsi="宋体" w:cs="宋体"/>
          <w:sz w:val="21"/>
          <w:szCs w:val="21"/>
        </w:rPr>
      </w:pPr>
      <w:r>
        <w:rPr>
          <w:rFonts w:ascii="宋体" w:hAnsi="宋体" w:cs="宋体"/>
          <w:sz w:val="21"/>
          <w:szCs w:val="21"/>
        </w:rPr>
        <w:t>2.4推荐中标候选人</w:t>
      </w:r>
    </w:p>
    <w:p w14:paraId="722FFC48">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2.4.1按评审后得分由高到低顺序排列。得分相同的，按投标报价由低到高顺序排列。得分且投标报价相同的并列。</w:t>
      </w:r>
    </w:p>
    <w:p w14:paraId="34A88EB8">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2.4.2本采购包推荐中标候选人的数量：</w:t>
      </w:r>
      <w:r>
        <w:rPr>
          <w:rFonts w:hint="eastAsia" w:ascii="宋体" w:hAnsi="宋体" w:eastAsia="宋体" w:cs="宋体"/>
          <w:szCs w:val="21"/>
          <w:u w:val="single"/>
        </w:rPr>
        <w:t xml:space="preserve">  1  </w:t>
      </w:r>
      <w:r>
        <w:rPr>
          <w:rFonts w:hint="eastAsia" w:ascii="宋体" w:hAnsi="宋体" w:eastAsia="宋体" w:cs="宋体"/>
          <w:szCs w:val="21"/>
        </w:rPr>
        <w:t>家。</w:t>
      </w:r>
    </w:p>
    <w:p w14:paraId="65A95ADE">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2.4.3中标人数量：</w:t>
      </w:r>
      <w:r>
        <w:rPr>
          <w:rFonts w:hint="eastAsia" w:ascii="宋体" w:hAnsi="宋体" w:eastAsia="宋体" w:cs="宋体"/>
          <w:szCs w:val="21"/>
          <w:u w:val="single"/>
        </w:rPr>
        <w:t xml:space="preserve">  1  </w:t>
      </w:r>
      <w:r>
        <w:rPr>
          <w:rFonts w:hint="eastAsia" w:ascii="宋体" w:hAnsi="宋体" w:eastAsia="宋体" w:cs="宋体"/>
          <w:szCs w:val="21"/>
        </w:rPr>
        <w:t>家。</w:t>
      </w:r>
    </w:p>
    <w:p w14:paraId="3E342CA6">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中标候选人并列的，按照</w:t>
      </w:r>
      <w:r>
        <w:rPr>
          <w:rFonts w:hint="eastAsia" w:ascii="宋体" w:hAnsi="宋体" w:eastAsia="宋体" w:cs="宋体"/>
          <w:b/>
          <w:bCs/>
          <w:szCs w:val="21"/>
          <w:u w:val="single"/>
        </w:rPr>
        <w:t xml:space="preserve"> “技术部分”的得分高低排序；若技术部分得分也相同的，则按“商务部分”的得分高低排序；若三部分都一样采取随机抽取 </w:t>
      </w:r>
      <w:r>
        <w:rPr>
          <w:rFonts w:hint="eastAsia" w:ascii="宋体" w:hAnsi="宋体" w:eastAsia="宋体" w:cs="宋体"/>
          <w:szCs w:val="21"/>
        </w:rPr>
        <w:t>的方式确定中标人。招标文件未规定的，采取随机抽取的方式确定。</w:t>
      </w:r>
    </w:p>
    <w:p w14:paraId="0D2CC48E">
      <w:pPr>
        <w:rPr>
          <w:rFonts w:hint="eastAsia" w:ascii="宋体" w:hAnsi="宋体" w:eastAsia="宋体" w:cs="宋体"/>
          <w:szCs w:val="21"/>
        </w:rPr>
        <w:sectPr>
          <w:pgSz w:w="11906" w:h="16838"/>
          <w:pgMar w:top="1440" w:right="1752" w:bottom="1440" w:left="1752" w:header="851" w:footer="992" w:gutter="0"/>
          <w:cols w:space="720" w:num="1"/>
          <w:titlePg/>
          <w:docGrid w:type="lines" w:linePitch="312" w:charSpace="0"/>
        </w:sectPr>
      </w:pPr>
    </w:p>
    <w:p w14:paraId="501467AE">
      <w:pPr>
        <w:jc w:val="center"/>
        <w:outlineLvl w:val="0"/>
        <w:rPr>
          <w:rFonts w:hint="eastAsia" w:ascii="宋体" w:hAnsi="宋体" w:eastAsia="宋体" w:cs="宋体"/>
          <w:b/>
          <w:bCs/>
          <w:sz w:val="28"/>
          <w:szCs w:val="28"/>
        </w:rPr>
      </w:pPr>
      <w:bookmarkStart w:id="25" w:name="_Toc23551"/>
      <w:bookmarkStart w:id="26" w:name="_Toc614538032"/>
      <w:bookmarkStart w:id="27" w:name="_Toc1484421284"/>
      <w:bookmarkStart w:id="28" w:name="_Toc38030150"/>
      <w:bookmarkStart w:id="29" w:name="_Toc1914430521"/>
      <w:bookmarkStart w:id="30" w:name="_Toc525052847"/>
      <w:bookmarkStart w:id="31" w:name="_Toc1406510925"/>
      <w:bookmarkStart w:id="32" w:name="_Toc353483817"/>
      <w:bookmarkStart w:id="33" w:name="_Toc1505390621"/>
      <w:r>
        <w:rPr>
          <w:rFonts w:hint="eastAsia" w:ascii="宋体" w:hAnsi="宋体" w:eastAsia="宋体" w:cs="宋体"/>
          <w:b/>
          <w:bCs/>
          <w:sz w:val="28"/>
          <w:szCs w:val="28"/>
        </w:rPr>
        <w:t>第四章  政府采购合同文本</w:t>
      </w:r>
      <w:bookmarkEnd w:id="25"/>
      <w:bookmarkEnd w:id="26"/>
      <w:bookmarkEnd w:id="27"/>
      <w:bookmarkEnd w:id="28"/>
      <w:bookmarkEnd w:id="29"/>
      <w:bookmarkEnd w:id="30"/>
      <w:bookmarkEnd w:id="31"/>
      <w:bookmarkEnd w:id="32"/>
      <w:bookmarkEnd w:id="33"/>
    </w:p>
    <w:p w14:paraId="628D9842">
      <w:pPr>
        <w:pStyle w:val="19"/>
        <w:jc w:val="center"/>
        <w:rPr>
          <w:rFonts w:hint="eastAsia" w:hAnsi="宋体" w:cs="宋体"/>
          <w:b/>
          <w:sz w:val="96"/>
          <w:szCs w:val="96"/>
        </w:rPr>
      </w:pPr>
    </w:p>
    <w:p w14:paraId="50E54191">
      <w:pPr>
        <w:pStyle w:val="19"/>
        <w:jc w:val="center"/>
        <w:rPr>
          <w:rFonts w:hint="eastAsia" w:ascii="华文中宋" w:hAnsi="华文中宋" w:eastAsia="华文中宋" w:cs="华文中宋"/>
          <w:bCs/>
          <w:sz w:val="32"/>
          <w:szCs w:val="32"/>
        </w:rPr>
      </w:pPr>
      <w:bookmarkStart w:id="34" w:name="_Toc754"/>
      <w:r>
        <w:rPr>
          <w:rFonts w:hint="eastAsia" w:ascii="华文中宋" w:hAnsi="华文中宋" w:eastAsia="华文中宋" w:cs="华文中宋"/>
          <w:bCs/>
          <w:sz w:val="32"/>
          <w:szCs w:val="32"/>
        </w:rPr>
        <w:t>合 同 书</w:t>
      </w:r>
    </w:p>
    <w:p w14:paraId="2DF397D9">
      <w:pPr>
        <w:pStyle w:val="19"/>
        <w:jc w:val="center"/>
        <w:rPr>
          <w:rFonts w:hint="eastAsia" w:ascii="华文中宋" w:hAnsi="华文中宋" w:eastAsia="华文中宋" w:cs="华文中宋"/>
          <w:bCs/>
          <w:sz w:val="32"/>
          <w:szCs w:val="32"/>
        </w:rPr>
      </w:pPr>
    </w:p>
    <w:p w14:paraId="7F9E3CAE">
      <w:pPr>
        <w:tabs>
          <w:tab w:val="left" w:pos="540"/>
          <w:tab w:val="left" w:pos="1080"/>
          <w:tab w:val="left" w:pos="1440"/>
        </w:tabs>
        <w:snapToGrid w:val="0"/>
        <w:jc w:val="center"/>
        <w:rPr>
          <w:rFonts w:hint="eastAsia" w:ascii="宋体" w:hAnsi="宋体" w:cs="宋体"/>
          <w:sz w:val="32"/>
          <w:szCs w:val="32"/>
        </w:rPr>
      </w:pPr>
    </w:p>
    <w:p w14:paraId="3413A915">
      <w:pPr>
        <w:tabs>
          <w:tab w:val="left" w:pos="540"/>
          <w:tab w:val="left" w:pos="1080"/>
          <w:tab w:val="left" w:pos="1440"/>
        </w:tabs>
        <w:snapToGrid w:val="0"/>
        <w:jc w:val="center"/>
        <w:rPr>
          <w:rFonts w:hint="eastAsia" w:ascii="宋体" w:hAnsi="宋体" w:cs="宋体"/>
          <w:sz w:val="32"/>
          <w:szCs w:val="32"/>
        </w:rPr>
      </w:pPr>
    </w:p>
    <w:p w14:paraId="12B92E76">
      <w:pPr>
        <w:tabs>
          <w:tab w:val="left" w:pos="540"/>
          <w:tab w:val="left" w:pos="1080"/>
          <w:tab w:val="left" w:pos="1440"/>
        </w:tabs>
        <w:snapToGrid w:val="0"/>
        <w:jc w:val="center"/>
        <w:rPr>
          <w:rFonts w:hint="eastAsia" w:ascii="宋体" w:hAnsi="宋体" w:cs="宋体"/>
          <w:sz w:val="32"/>
          <w:szCs w:val="32"/>
        </w:rPr>
      </w:pPr>
    </w:p>
    <w:p w14:paraId="5CD8B2D0">
      <w:pPr>
        <w:tabs>
          <w:tab w:val="left" w:pos="540"/>
          <w:tab w:val="left" w:pos="1080"/>
          <w:tab w:val="left" w:pos="1440"/>
        </w:tabs>
        <w:snapToGrid w:val="0"/>
        <w:ind w:left="1680" w:leftChars="800"/>
        <w:jc w:val="center"/>
        <w:rPr>
          <w:rFonts w:hint="eastAsia" w:ascii="宋体" w:hAnsi="宋体" w:cs="宋体"/>
          <w:sz w:val="32"/>
          <w:szCs w:val="32"/>
        </w:rPr>
      </w:pPr>
    </w:p>
    <w:p w14:paraId="618BEA71">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项目名称：</w:t>
      </w:r>
      <w:r>
        <w:rPr>
          <w:rFonts w:hint="eastAsia" w:ascii="方正小标宋简体" w:hAnsi="方正小标宋简体" w:eastAsia="方正小标宋简体" w:cs="方正小标宋简体"/>
          <w:bCs/>
          <w:sz w:val="24"/>
          <w:szCs w:val="24"/>
          <w:u w:val="single"/>
        </w:rPr>
        <w:t xml:space="preserve">                   </w:t>
      </w:r>
    </w:p>
    <w:p w14:paraId="5D3CE679">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包    号：</w:t>
      </w:r>
      <w:r>
        <w:rPr>
          <w:rFonts w:hint="eastAsia" w:ascii="方正小标宋简体" w:hAnsi="方正小标宋简体" w:eastAsia="方正小标宋简体" w:cs="方正小标宋简体"/>
          <w:bCs/>
          <w:sz w:val="24"/>
          <w:szCs w:val="24"/>
          <w:u w:val="single"/>
        </w:rPr>
        <w:t xml:space="preserve">                   </w:t>
      </w:r>
    </w:p>
    <w:p w14:paraId="322F8AA8">
      <w:pPr>
        <w:tabs>
          <w:tab w:val="left" w:pos="540"/>
          <w:tab w:val="left" w:pos="1080"/>
          <w:tab w:val="left" w:pos="1440"/>
        </w:tabs>
        <w:snapToGrid w:val="0"/>
        <w:spacing w:line="360" w:lineRule="auto"/>
        <w:ind w:left="2100" w:leftChars="1000"/>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合同编号：</w:t>
      </w:r>
      <w:r>
        <w:rPr>
          <w:rFonts w:hint="eastAsia" w:ascii="方正小标宋简体" w:hAnsi="方正小标宋简体" w:eastAsia="方正小标宋简体" w:cs="方正小标宋简体"/>
          <w:bCs/>
          <w:sz w:val="24"/>
          <w:szCs w:val="24"/>
          <w:u w:val="single"/>
        </w:rPr>
        <w:t xml:space="preserve">                   </w:t>
      </w:r>
      <w:r>
        <w:rPr>
          <w:rFonts w:hint="eastAsia" w:ascii="方正小标宋简体" w:hAnsi="方正小标宋简体" w:eastAsia="方正小标宋简体" w:cs="方正小标宋简体"/>
          <w:bCs/>
          <w:sz w:val="24"/>
          <w:szCs w:val="24"/>
        </w:rPr>
        <w:t xml:space="preserve"> </w:t>
      </w:r>
    </w:p>
    <w:p w14:paraId="18AF9D71">
      <w:pPr>
        <w:tabs>
          <w:tab w:val="left" w:pos="2160"/>
        </w:tabs>
        <w:topLinePunct/>
        <w:autoSpaceDE w:val="0"/>
        <w:autoSpaceDN w:val="0"/>
        <w:snapToGrid w:val="0"/>
        <w:spacing w:line="360" w:lineRule="auto"/>
        <w:ind w:left="2880" w:leftChars="800" w:hanging="1200" w:hangingChars="500"/>
        <w:rPr>
          <w:rFonts w:hint="eastAsia" w:ascii="方正小标宋简体" w:hAnsi="方正小标宋简体" w:eastAsia="方正小标宋简体" w:cs="方正小标宋简体"/>
          <w:bCs/>
          <w:sz w:val="24"/>
          <w:szCs w:val="24"/>
        </w:rPr>
      </w:pPr>
    </w:p>
    <w:p w14:paraId="56331E9D">
      <w:pPr>
        <w:pStyle w:val="19"/>
        <w:spacing w:line="460" w:lineRule="exact"/>
        <w:jc w:val="center"/>
        <w:rPr>
          <w:rFonts w:hint="eastAsia" w:ascii="方正小标宋简体" w:hAnsi="方正小标宋简体" w:eastAsia="方正小标宋简体" w:cs="方正小标宋简体"/>
          <w:bCs/>
          <w:sz w:val="24"/>
          <w:szCs w:val="24"/>
        </w:rPr>
      </w:pPr>
    </w:p>
    <w:p w14:paraId="291BC279">
      <w:pPr>
        <w:pStyle w:val="19"/>
        <w:tabs>
          <w:tab w:val="left" w:pos="3045"/>
        </w:tabs>
        <w:spacing w:line="460" w:lineRule="exact"/>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ab/>
      </w:r>
    </w:p>
    <w:p w14:paraId="573D977E">
      <w:pPr>
        <w:pStyle w:val="19"/>
        <w:spacing w:line="460" w:lineRule="exact"/>
        <w:rPr>
          <w:rFonts w:hint="eastAsia" w:ascii="方正小标宋简体" w:hAnsi="方正小标宋简体" w:eastAsia="方正小标宋简体" w:cs="方正小标宋简体"/>
          <w:bCs/>
          <w:sz w:val="24"/>
          <w:szCs w:val="24"/>
        </w:rPr>
      </w:pPr>
    </w:p>
    <w:p w14:paraId="740CA5A3">
      <w:pPr>
        <w:pStyle w:val="19"/>
        <w:spacing w:line="460" w:lineRule="exact"/>
        <w:jc w:val="center"/>
        <w:rPr>
          <w:rFonts w:hint="eastAsia" w:ascii="方正小标宋简体" w:hAnsi="方正小标宋简体" w:eastAsia="方正小标宋简体" w:cs="方正小标宋简体"/>
          <w:bCs/>
          <w:sz w:val="24"/>
          <w:szCs w:val="24"/>
        </w:rPr>
      </w:pPr>
    </w:p>
    <w:p w14:paraId="4DC74229">
      <w:pPr>
        <w:spacing w:line="300" w:lineRule="auto"/>
        <w:ind w:left="840" w:leftChars="400" w:firstLine="1298" w:firstLineChars="541"/>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 xml:space="preserve">甲    方： </w:t>
      </w:r>
      <w:r>
        <w:rPr>
          <w:rFonts w:hint="eastAsia" w:ascii="方正小标宋简体" w:hAnsi="方正小标宋简体" w:eastAsia="方正小标宋简体" w:cs="方正小标宋简体"/>
          <w:bCs/>
          <w:sz w:val="24"/>
          <w:szCs w:val="24"/>
          <w:u w:val="single"/>
        </w:rPr>
        <w:t>国家税务总局XX税务局</w:t>
      </w:r>
    </w:p>
    <w:p w14:paraId="54463C4A">
      <w:pPr>
        <w:spacing w:line="300" w:lineRule="auto"/>
        <w:ind w:left="840" w:leftChars="400" w:firstLine="1298" w:firstLineChars="541"/>
        <w:rPr>
          <w:rFonts w:hint="eastAsia" w:ascii="方正小标宋简体" w:hAnsi="方正小标宋简体" w:eastAsia="方正小标宋简体" w:cs="方正小标宋简体"/>
          <w:bCs/>
          <w:sz w:val="24"/>
          <w:szCs w:val="24"/>
          <w:u w:val="single"/>
        </w:rPr>
      </w:pPr>
      <w:r>
        <w:rPr>
          <w:rFonts w:hint="eastAsia" w:ascii="方正小标宋简体" w:hAnsi="方正小标宋简体" w:eastAsia="方正小标宋简体" w:cs="方正小标宋简体"/>
          <w:bCs/>
          <w:sz w:val="24"/>
          <w:szCs w:val="24"/>
        </w:rPr>
        <w:t xml:space="preserve">乙    方： </w:t>
      </w:r>
      <w:r>
        <w:rPr>
          <w:rFonts w:hint="eastAsia" w:ascii="方正小标宋简体" w:hAnsi="方正小标宋简体" w:eastAsia="方正小标宋简体" w:cs="方正小标宋简体"/>
          <w:bCs/>
          <w:sz w:val="24"/>
          <w:szCs w:val="24"/>
          <w:u w:val="single"/>
        </w:rPr>
        <w:t xml:space="preserve">                     </w:t>
      </w:r>
    </w:p>
    <w:p w14:paraId="1DCC9F1B">
      <w:pPr>
        <w:spacing w:line="300" w:lineRule="auto"/>
        <w:ind w:left="840" w:leftChars="400" w:firstLine="1298" w:firstLineChars="541"/>
        <w:rPr>
          <w:rFonts w:hint="eastAsia" w:ascii="方正小标宋简体" w:hAnsi="方正小标宋简体" w:eastAsia="方正小标宋简体" w:cs="方正小标宋简体"/>
          <w:bCs/>
          <w:sz w:val="24"/>
          <w:szCs w:val="24"/>
          <w:u w:val="single"/>
        </w:rPr>
      </w:pPr>
      <w:r>
        <w:rPr>
          <w:rFonts w:hint="eastAsia" w:ascii="方正小标宋简体" w:hAnsi="方正小标宋简体" w:eastAsia="方正小标宋简体" w:cs="方正小标宋简体"/>
          <w:bCs/>
          <w:sz w:val="24"/>
          <w:szCs w:val="24"/>
        </w:rPr>
        <w:t xml:space="preserve">日    期： </w:t>
      </w:r>
      <w:r>
        <w:rPr>
          <w:rFonts w:hint="eastAsia" w:ascii="方正小标宋简体" w:hAnsi="方正小标宋简体" w:eastAsia="方正小标宋简体" w:cs="方正小标宋简体"/>
          <w:bCs/>
          <w:sz w:val="24"/>
          <w:szCs w:val="24"/>
          <w:u w:val="single"/>
        </w:rPr>
        <w:t xml:space="preserve">        年    月   日</w:t>
      </w:r>
    </w:p>
    <w:p w14:paraId="6FBE5D62">
      <w:pPr>
        <w:spacing w:line="300" w:lineRule="auto"/>
        <w:jc w:val="center"/>
        <w:rPr>
          <w:rFonts w:hint="eastAsia" w:ascii="宋体" w:hAnsi="宋体" w:cs="宋体"/>
          <w:b/>
          <w:sz w:val="24"/>
          <w:szCs w:val="24"/>
        </w:rPr>
      </w:pPr>
      <w:r>
        <w:rPr>
          <w:rFonts w:hint="eastAsia" w:ascii="方正小标宋简体" w:hAnsi="方正小标宋简体" w:eastAsia="方正小标宋简体" w:cs="方正小标宋简体"/>
          <w:bCs/>
          <w:sz w:val="24"/>
          <w:szCs w:val="24"/>
          <w:u w:val="single"/>
        </w:rPr>
        <w:br w:type="page"/>
      </w:r>
      <w:r>
        <w:rPr>
          <w:rFonts w:hint="eastAsia" w:ascii="宋体" w:hAnsi="宋体" w:cs="宋体"/>
          <w:b/>
          <w:sz w:val="24"/>
          <w:szCs w:val="24"/>
        </w:rPr>
        <w:t>合同条款前附表</w:t>
      </w:r>
    </w:p>
    <w:tbl>
      <w:tblPr>
        <w:tblStyle w:val="29"/>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14:paraId="5004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52625A67">
            <w:pPr>
              <w:tabs>
                <w:tab w:val="left" w:pos="700"/>
              </w:tabs>
              <w:adjustRightInd w:val="0"/>
              <w:snapToGrid w:val="0"/>
              <w:jc w:val="center"/>
              <w:rPr>
                <w:rFonts w:ascii="Times New Roman" w:hAnsi="Times New Roman"/>
                <w:b/>
                <w:szCs w:val="21"/>
              </w:rPr>
            </w:pPr>
            <w:r>
              <w:rPr>
                <w:rFonts w:ascii="Times New Roman" w:hAnsi="Times New Roman"/>
                <w:b/>
                <w:szCs w:val="21"/>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14:paraId="32C2C89A">
            <w:pPr>
              <w:tabs>
                <w:tab w:val="left" w:pos="700"/>
              </w:tabs>
              <w:adjustRightInd w:val="0"/>
              <w:snapToGrid w:val="0"/>
              <w:jc w:val="center"/>
              <w:rPr>
                <w:rFonts w:ascii="Times New Roman" w:hAnsi="Times New Roman"/>
                <w:b/>
                <w:szCs w:val="21"/>
              </w:rPr>
            </w:pPr>
            <w:r>
              <w:rPr>
                <w:rFonts w:ascii="Times New Roman" w:hAnsi="Times New Roman"/>
                <w:b/>
                <w:szCs w:val="21"/>
              </w:rPr>
              <w:t>内        容</w:t>
            </w:r>
          </w:p>
        </w:tc>
      </w:tr>
      <w:tr w14:paraId="3A2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43351647">
            <w:pPr>
              <w:tabs>
                <w:tab w:val="left" w:pos="700"/>
              </w:tabs>
              <w:adjustRightInd w:val="0"/>
              <w:snapToGrid w:val="0"/>
              <w:jc w:val="center"/>
              <w:rPr>
                <w:rFonts w:ascii="Times New Roman" w:hAnsi="Times New Roman"/>
                <w:szCs w:val="21"/>
              </w:rPr>
            </w:pPr>
            <w:r>
              <w:rPr>
                <w:rFonts w:ascii="Times New Roman" w:hAnsi="Times New Roman"/>
                <w:szCs w:val="21"/>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07832B03">
            <w:pPr>
              <w:tabs>
                <w:tab w:val="left" w:pos="700"/>
              </w:tabs>
              <w:adjustRightInd w:val="0"/>
              <w:snapToGrid w:val="0"/>
              <w:jc w:val="center"/>
              <w:rPr>
                <w:rFonts w:ascii="Times New Roman" w:hAnsi="Times New Roman"/>
                <w:szCs w:val="21"/>
              </w:rPr>
            </w:pPr>
            <w:r>
              <w:rPr>
                <w:rFonts w:ascii="Times New Roman" w:hAnsi="Times New Roman"/>
                <w:szCs w:val="21"/>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14:paraId="219DF292">
            <w:pPr>
              <w:tabs>
                <w:tab w:val="left" w:pos="700"/>
              </w:tabs>
              <w:adjustRightInd w:val="0"/>
              <w:snapToGrid w:val="0"/>
              <w:rPr>
                <w:rFonts w:ascii="Times New Roman" w:hAnsi="Times New Roman"/>
                <w:bCs/>
                <w:szCs w:val="21"/>
              </w:rPr>
            </w:pPr>
          </w:p>
        </w:tc>
      </w:tr>
      <w:tr w14:paraId="0860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3B4A055B">
            <w:pPr>
              <w:tabs>
                <w:tab w:val="left" w:pos="700"/>
              </w:tabs>
              <w:adjustRightInd w:val="0"/>
              <w:snapToGrid w:val="0"/>
              <w:jc w:val="center"/>
              <w:rPr>
                <w:rFonts w:ascii="Times New Roman" w:hAnsi="Times New Roman"/>
                <w:szCs w:val="21"/>
              </w:rPr>
            </w:pPr>
            <w:r>
              <w:rPr>
                <w:rFonts w:ascii="Times New Roman" w:hAnsi="Times New Roman"/>
                <w:szCs w:val="21"/>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447D35FD">
            <w:pPr>
              <w:tabs>
                <w:tab w:val="left" w:pos="700"/>
              </w:tabs>
              <w:adjustRightInd w:val="0"/>
              <w:snapToGrid w:val="0"/>
              <w:jc w:val="center"/>
              <w:rPr>
                <w:rFonts w:ascii="Times New Roman" w:hAnsi="Times New Roman"/>
                <w:szCs w:val="21"/>
              </w:rPr>
            </w:pPr>
            <w:r>
              <w:rPr>
                <w:rFonts w:ascii="Times New Roman" w:hAnsi="Times New Roman"/>
                <w:szCs w:val="21"/>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14:paraId="34D71CF1">
            <w:pPr>
              <w:tabs>
                <w:tab w:val="left" w:pos="2160"/>
              </w:tabs>
              <w:topLinePunct/>
              <w:autoSpaceDE w:val="0"/>
              <w:autoSpaceDN w:val="0"/>
              <w:adjustRightInd w:val="0"/>
              <w:snapToGrid w:val="0"/>
              <w:rPr>
                <w:rFonts w:ascii="Times New Roman" w:hAnsi="Times New Roman"/>
                <w:bCs/>
                <w:szCs w:val="21"/>
              </w:rPr>
            </w:pPr>
          </w:p>
        </w:tc>
      </w:tr>
      <w:tr w14:paraId="2B1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2303514A">
            <w:pPr>
              <w:tabs>
                <w:tab w:val="left" w:pos="700"/>
              </w:tabs>
              <w:adjustRightInd w:val="0"/>
              <w:snapToGrid w:val="0"/>
              <w:jc w:val="center"/>
              <w:rPr>
                <w:rFonts w:ascii="Times New Roman" w:hAnsi="Times New Roman"/>
                <w:szCs w:val="21"/>
              </w:rPr>
            </w:pPr>
            <w:r>
              <w:rPr>
                <w:rFonts w:ascii="Times New Roman" w:hAnsi="Times New Roman"/>
                <w:szCs w:val="21"/>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5E042C20">
            <w:pPr>
              <w:tabs>
                <w:tab w:val="left" w:pos="700"/>
              </w:tabs>
              <w:adjustRightInd w:val="0"/>
              <w:snapToGrid w:val="0"/>
              <w:jc w:val="center"/>
              <w:rPr>
                <w:rFonts w:ascii="Times New Roman" w:hAnsi="Times New Roman"/>
                <w:szCs w:val="21"/>
              </w:rPr>
            </w:pPr>
            <w:r>
              <w:rPr>
                <w:rFonts w:ascii="Times New Roman" w:hAnsi="Times New Roman"/>
                <w:szCs w:val="21"/>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14:paraId="2A965DD9">
            <w:pPr>
              <w:tabs>
                <w:tab w:val="left" w:pos="2160"/>
              </w:tabs>
              <w:topLinePunct/>
              <w:autoSpaceDE w:val="0"/>
              <w:autoSpaceDN w:val="0"/>
              <w:adjustRightInd w:val="0"/>
              <w:snapToGrid w:val="0"/>
              <w:rPr>
                <w:rFonts w:ascii="Times New Roman" w:hAnsi="Times New Roman"/>
                <w:b/>
                <w:bCs/>
                <w:szCs w:val="21"/>
              </w:rPr>
            </w:pPr>
          </w:p>
        </w:tc>
      </w:tr>
      <w:tr w14:paraId="08A4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1DCF82AF">
            <w:pPr>
              <w:tabs>
                <w:tab w:val="left" w:pos="700"/>
              </w:tabs>
              <w:adjustRightInd w:val="0"/>
              <w:snapToGrid w:val="0"/>
              <w:jc w:val="center"/>
              <w:rPr>
                <w:rFonts w:ascii="Times New Roman" w:hAnsi="Times New Roman"/>
                <w:szCs w:val="21"/>
              </w:rPr>
            </w:pPr>
            <w:r>
              <w:rPr>
                <w:rFonts w:ascii="Times New Roman" w:hAnsi="Times New Roman"/>
                <w:szCs w:val="21"/>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6F59858D">
            <w:pPr>
              <w:tabs>
                <w:tab w:val="left" w:pos="700"/>
              </w:tabs>
              <w:adjustRightInd w:val="0"/>
              <w:snapToGrid w:val="0"/>
              <w:jc w:val="center"/>
              <w:rPr>
                <w:rFonts w:ascii="Times New Roman" w:hAnsi="Times New Roman"/>
                <w:szCs w:val="21"/>
              </w:rPr>
            </w:pPr>
            <w:r>
              <w:rPr>
                <w:rFonts w:ascii="Times New Roman" w:hAnsi="Times New Roman"/>
                <w:szCs w:val="21"/>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14:paraId="17CF8251">
            <w:pPr>
              <w:tabs>
                <w:tab w:val="left" w:pos="2160"/>
              </w:tabs>
              <w:topLinePunct/>
              <w:autoSpaceDE w:val="0"/>
              <w:autoSpaceDN w:val="0"/>
              <w:adjustRightInd w:val="0"/>
              <w:snapToGrid w:val="0"/>
              <w:rPr>
                <w:rFonts w:ascii="Times New Roman" w:hAnsi="Times New Roman"/>
                <w:b/>
                <w:bCs/>
                <w:szCs w:val="21"/>
              </w:rPr>
            </w:pPr>
          </w:p>
        </w:tc>
      </w:tr>
      <w:tr w14:paraId="6F6A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14:paraId="25891BE8">
            <w:pPr>
              <w:tabs>
                <w:tab w:val="left" w:pos="700"/>
              </w:tabs>
              <w:adjustRightInd w:val="0"/>
              <w:snapToGrid w:val="0"/>
              <w:jc w:val="center"/>
              <w:rPr>
                <w:rFonts w:ascii="Times New Roman" w:hAnsi="Times New Roman"/>
                <w:szCs w:val="21"/>
              </w:rPr>
            </w:pPr>
            <w:r>
              <w:rPr>
                <w:rFonts w:ascii="Times New Roman" w:hAnsi="Times New Roman"/>
                <w:szCs w:val="21"/>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14:paraId="3A221F8C">
            <w:pPr>
              <w:tabs>
                <w:tab w:val="left" w:pos="700"/>
              </w:tabs>
              <w:adjustRightInd w:val="0"/>
              <w:snapToGrid w:val="0"/>
              <w:jc w:val="center"/>
              <w:rPr>
                <w:rFonts w:ascii="Times New Roman" w:hAnsi="Times New Roman"/>
                <w:szCs w:val="21"/>
              </w:rPr>
            </w:pPr>
            <w:r>
              <w:rPr>
                <w:rFonts w:ascii="Times New Roman" w:hAnsi="Times New Roman"/>
                <w:szCs w:val="21"/>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14:paraId="2F9FA252">
            <w:pPr>
              <w:tabs>
                <w:tab w:val="left" w:pos="700"/>
              </w:tabs>
              <w:adjustRightInd w:val="0"/>
              <w:snapToGrid w:val="0"/>
              <w:rPr>
                <w:rFonts w:ascii="Times New Roman" w:hAnsi="Times New Roman"/>
                <w:szCs w:val="21"/>
              </w:rPr>
            </w:pPr>
          </w:p>
        </w:tc>
      </w:tr>
      <w:tr w14:paraId="74BB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2E36B6B9">
            <w:pPr>
              <w:widowControl/>
              <w:adjustRightInd w:val="0"/>
              <w:snapToGrid w:val="0"/>
              <w:rPr>
                <w:rFonts w:ascii="Times New Roman" w:hAnsi="Times New Roman"/>
                <w:szCs w:val="21"/>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14:paraId="54E0AF7C">
            <w:pPr>
              <w:tabs>
                <w:tab w:val="left" w:pos="700"/>
              </w:tabs>
              <w:adjustRightInd w:val="0"/>
              <w:snapToGrid w:val="0"/>
              <w:jc w:val="center"/>
              <w:rPr>
                <w:rFonts w:ascii="Times New Roman" w:hAnsi="Times New Roman"/>
                <w:szCs w:val="21"/>
              </w:rPr>
            </w:pPr>
            <w:r>
              <w:rPr>
                <w:rFonts w:ascii="Times New Roman" w:hAnsi="Times New Roman"/>
                <w:szCs w:val="21"/>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14:paraId="0E5E4EFD">
            <w:pPr>
              <w:tabs>
                <w:tab w:val="left" w:pos="700"/>
              </w:tabs>
              <w:adjustRightInd w:val="0"/>
              <w:snapToGrid w:val="0"/>
              <w:rPr>
                <w:rFonts w:ascii="Times New Roman" w:hAnsi="Times New Roman"/>
                <w:szCs w:val="21"/>
              </w:rPr>
            </w:pPr>
          </w:p>
        </w:tc>
      </w:tr>
      <w:tr w14:paraId="5E6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0E0CDDC8">
            <w:pPr>
              <w:widowControl/>
              <w:adjustRightInd w:val="0"/>
              <w:snapToGrid w:val="0"/>
              <w:rPr>
                <w:rFonts w:ascii="Times New Roman" w:hAnsi="Times New Roman"/>
                <w:szCs w:val="21"/>
              </w:rPr>
            </w:pPr>
          </w:p>
        </w:tc>
        <w:tc>
          <w:tcPr>
            <w:tcW w:w="409" w:type="dxa"/>
            <w:vMerge w:val="restart"/>
            <w:tcBorders>
              <w:top w:val="single" w:color="auto" w:sz="6" w:space="0"/>
              <w:left w:val="single" w:color="auto" w:sz="4" w:space="0"/>
              <w:right w:val="single" w:color="auto" w:sz="4" w:space="0"/>
            </w:tcBorders>
            <w:vAlign w:val="center"/>
          </w:tcPr>
          <w:p w14:paraId="3C7DE786">
            <w:pPr>
              <w:tabs>
                <w:tab w:val="left" w:pos="700"/>
              </w:tabs>
              <w:adjustRightInd w:val="0"/>
              <w:snapToGrid w:val="0"/>
              <w:jc w:val="center"/>
              <w:rPr>
                <w:rFonts w:ascii="Times New Roman" w:hAnsi="Times New Roman"/>
                <w:szCs w:val="21"/>
              </w:rPr>
            </w:pPr>
            <w:r>
              <w:rPr>
                <w:rFonts w:ascii="Times New Roman" w:hAnsi="Times New Roman"/>
                <w:szCs w:val="21"/>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14:paraId="171AB252">
            <w:pPr>
              <w:tabs>
                <w:tab w:val="left" w:pos="700"/>
              </w:tabs>
              <w:adjustRightInd w:val="0"/>
              <w:snapToGrid w:val="0"/>
              <w:jc w:val="center"/>
              <w:rPr>
                <w:rFonts w:ascii="Times New Roman" w:hAnsi="Times New Roman"/>
                <w:szCs w:val="21"/>
              </w:rPr>
            </w:pPr>
            <w:r>
              <w:rPr>
                <w:rFonts w:ascii="Times New Roman" w:hAnsi="Times New Roman"/>
                <w:szCs w:val="21"/>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14:paraId="6B2E4EBF">
            <w:pPr>
              <w:tabs>
                <w:tab w:val="left" w:pos="700"/>
              </w:tabs>
              <w:adjustRightInd w:val="0"/>
              <w:snapToGrid w:val="0"/>
              <w:rPr>
                <w:rFonts w:ascii="Times New Roman" w:hAnsi="Times New Roman"/>
                <w:szCs w:val="21"/>
              </w:rPr>
            </w:pPr>
          </w:p>
        </w:tc>
      </w:tr>
      <w:tr w14:paraId="3AA5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225C72C8">
            <w:pPr>
              <w:widowControl/>
              <w:adjustRightInd w:val="0"/>
              <w:snapToGrid w:val="0"/>
              <w:rPr>
                <w:rFonts w:ascii="Times New Roman" w:hAnsi="Times New Roman"/>
                <w:szCs w:val="21"/>
              </w:rPr>
            </w:pPr>
          </w:p>
        </w:tc>
        <w:tc>
          <w:tcPr>
            <w:tcW w:w="409" w:type="dxa"/>
            <w:vMerge w:val="continue"/>
            <w:tcBorders>
              <w:left w:val="single" w:color="auto" w:sz="4" w:space="0"/>
              <w:right w:val="single" w:color="auto" w:sz="4" w:space="0"/>
            </w:tcBorders>
            <w:vAlign w:val="center"/>
          </w:tcPr>
          <w:p w14:paraId="56C2869A">
            <w:pPr>
              <w:tabs>
                <w:tab w:val="left" w:pos="700"/>
              </w:tabs>
              <w:adjustRightInd w:val="0"/>
              <w:snapToGrid w:val="0"/>
              <w:jc w:val="center"/>
              <w:rPr>
                <w:rFonts w:ascii="Times New Roman" w:hAnsi="Times New Roman"/>
                <w:szCs w:val="21"/>
              </w:rPr>
            </w:pPr>
          </w:p>
        </w:tc>
        <w:tc>
          <w:tcPr>
            <w:tcW w:w="1500" w:type="dxa"/>
            <w:tcBorders>
              <w:top w:val="single" w:color="auto" w:sz="6" w:space="0"/>
              <w:left w:val="single" w:color="auto" w:sz="4" w:space="0"/>
              <w:bottom w:val="single" w:color="auto" w:sz="6" w:space="0"/>
              <w:right w:val="single" w:color="auto" w:sz="6" w:space="0"/>
            </w:tcBorders>
            <w:vAlign w:val="center"/>
          </w:tcPr>
          <w:p w14:paraId="4D19BC89">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5779" w:type="dxa"/>
            <w:tcBorders>
              <w:top w:val="single" w:color="auto" w:sz="6" w:space="0"/>
              <w:left w:val="single" w:color="auto" w:sz="6" w:space="0"/>
              <w:bottom w:val="single" w:color="auto" w:sz="6" w:space="0"/>
              <w:right w:val="single" w:color="auto" w:sz="4" w:space="0"/>
            </w:tcBorders>
            <w:vAlign w:val="center"/>
          </w:tcPr>
          <w:p w14:paraId="3ABE7C29">
            <w:pPr>
              <w:tabs>
                <w:tab w:val="left" w:pos="700"/>
              </w:tabs>
              <w:adjustRightInd w:val="0"/>
              <w:snapToGrid w:val="0"/>
              <w:rPr>
                <w:rFonts w:ascii="Times New Roman" w:hAnsi="Times New Roman"/>
                <w:szCs w:val="21"/>
              </w:rPr>
            </w:pPr>
          </w:p>
        </w:tc>
      </w:tr>
      <w:tr w14:paraId="47AF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0AB523B8">
            <w:pPr>
              <w:widowControl/>
              <w:adjustRightInd w:val="0"/>
              <w:snapToGrid w:val="0"/>
              <w:rPr>
                <w:rFonts w:ascii="Times New Roman" w:hAnsi="Times New Roman"/>
                <w:szCs w:val="21"/>
              </w:rPr>
            </w:pPr>
          </w:p>
        </w:tc>
        <w:tc>
          <w:tcPr>
            <w:tcW w:w="409" w:type="dxa"/>
            <w:vMerge w:val="continue"/>
            <w:tcBorders>
              <w:left w:val="single" w:color="auto" w:sz="4" w:space="0"/>
              <w:right w:val="single" w:color="auto" w:sz="4" w:space="0"/>
            </w:tcBorders>
            <w:vAlign w:val="center"/>
          </w:tcPr>
          <w:p w14:paraId="5879D05A">
            <w:pPr>
              <w:tabs>
                <w:tab w:val="left" w:pos="700"/>
              </w:tabs>
              <w:adjustRightInd w:val="0"/>
              <w:snapToGrid w:val="0"/>
              <w:jc w:val="center"/>
              <w:rPr>
                <w:rFonts w:ascii="Times New Roman" w:hAnsi="Times New Roman"/>
                <w:szCs w:val="21"/>
              </w:rPr>
            </w:pPr>
          </w:p>
        </w:tc>
        <w:tc>
          <w:tcPr>
            <w:tcW w:w="1500" w:type="dxa"/>
            <w:tcBorders>
              <w:top w:val="single" w:color="auto" w:sz="6" w:space="0"/>
              <w:left w:val="single" w:color="auto" w:sz="4" w:space="0"/>
              <w:bottom w:val="single" w:color="auto" w:sz="4" w:space="0"/>
              <w:right w:val="single" w:color="auto" w:sz="6" w:space="0"/>
            </w:tcBorders>
            <w:vAlign w:val="center"/>
          </w:tcPr>
          <w:p w14:paraId="6CD8EC12">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14:paraId="70A28972">
            <w:pPr>
              <w:tabs>
                <w:tab w:val="left" w:pos="700"/>
              </w:tabs>
              <w:adjustRightInd w:val="0"/>
              <w:snapToGrid w:val="0"/>
              <w:rPr>
                <w:rFonts w:ascii="Times New Roman" w:hAnsi="Times New Roman"/>
                <w:szCs w:val="21"/>
              </w:rPr>
            </w:pPr>
          </w:p>
        </w:tc>
      </w:tr>
      <w:tr w14:paraId="0E59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7823463C">
            <w:pPr>
              <w:widowControl/>
              <w:adjustRightInd w:val="0"/>
              <w:snapToGrid w:val="0"/>
              <w:rPr>
                <w:rFonts w:ascii="Times New Roman" w:hAnsi="Times New Roman"/>
                <w:szCs w:val="21"/>
              </w:rPr>
            </w:pPr>
          </w:p>
        </w:tc>
        <w:tc>
          <w:tcPr>
            <w:tcW w:w="409" w:type="dxa"/>
            <w:vMerge w:val="continue"/>
            <w:tcBorders>
              <w:left w:val="single" w:color="auto" w:sz="4" w:space="0"/>
              <w:right w:val="single" w:color="auto" w:sz="4" w:space="0"/>
            </w:tcBorders>
            <w:vAlign w:val="center"/>
          </w:tcPr>
          <w:p w14:paraId="07B3710A">
            <w:pPr>
              <w:tabs>
                <w:tab w:val="left" w:pos="700"/>
              </w:tabs>
              <w:adjustRightInd w:val="0"/>
              <w:snapToGrid w:val="0"/>
              <w:jc w:val="center"/>
              <w:rPr>
                <w:rFonts w:ascii="Times New Roman" w:hAnsi="Times New Roman"/>
                <w:szCs w:val="21"/>
              </w:rPr>
            </w:pPr>
          </w:p>
        </w:tc>
        <w:tc>
          <w:tcPr>
            <w:tcW w:w="1500" w:type="dxa"/>
            <w:tcBorders>
              <w:top w:val="single" w:color="auto" w:sz="6" w:space="0"/>
              <w:left w:val="single" w:color="auto" w:sz="4" w:space="0"/>
              <w:bottom w:val="single" w:color="auto" w:sz="4" w:space="0"/>
              <w:right w:val="single" w:color="auto" w:sz="6" w:space="0"/>
            </w:tcBorders>
            <w:vAlign w:val="center"/>
          </w:tcPr>
          <w:p w14:paraId="48B53394">
            <w:pPr>
              <w:tabs>
                <w:tab w:val="left" w:pos="700"/>
              </w:tabs>
              <w:adjustRightInd w:val="0"/>
              <w:snapToGrid w:val="0"/>
              <w:jc w:val="center"/>
              <w:rPr>
                <w:rFonts w:ascii="Times New Roman" w:hAnsi="Times New Roman"/>
                <w:szCs w:val="21"/>
              </w:rPr>
            </w:pPr>
            <w:r>
              <w:rPr>
                <w:rFonts w:ascii="Times New Roman" w:hAnsi="Times New Roman"/>
                <w:szCs w:val="21"/>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14:paraId="775D5C21">
            <w:pPr>
              <w:tabs>
                <w:tab w:val="left" w:pos="700"/>
              </w:tabs>
              <w:adjustRightInd w:val="0"/>
              <w:snapToGrid w:val="0"/>
              <w:rPr>
                <w:rFonts w:ascii="Times New Roman" w:hAnsi="Times New Roman"/>
                <w:szCs w:val="21"/>
              </w:rPr>
            </w:pPr>
          </w:p>
        </w:tc>
      </w:tr>
      <w:tr w14:paraId="7867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022E69B9">
            <w:pPr>
              <w:widowControl/>
              <w:adjustRightInd w:val="0"/>
              <w:snapToGrid w:val="0"/>
              <w:rPr>
                <w:rFonts w:ascii="Times New Roman" w:hAnsi="Times New Roman"/>
                <w:szCs w:val="21"/>
              </w:rPr>
            </w:pPr>
          </w:p>
        </w:tc>
        <w:tc>
          <w:tcPr>
            <w:tcW w:w="409" w:type="dxa"/>
            <w:vMerge w:val="continue"/>
            <w:tcBorders>
              <w:left w:val="single" w:color="auto" w:sz="4" w:space="0"/>
              <w:right w:val="single" w:color="auto" w:sz="4" w:space="0"/>
            </w:tcBorders>
            <w:vAlign w:val="center"/>
          </w:tcPr>
          <w:p w14:paraId="4D8C7836">
            <w:pPr>
              <w:tabs>
                <w:tab w:val="left" w:pos="700"/>
              </w:tabs>
              <w:adjustRightInd w:val="0"/>
              <w:snapToGrid w:val="0"/>
              <w:jc w:val="center"/>
              <w:rPr>
                <w:rFonts w:ascii="Times New Roman" w:hAnsi="Times New Roman"/>
                <w:szCs w:val="21"/>
              </w:rPr>
            </w:pPr>
          </w:p>
        </w:tc>
        <w:tc>
          <w:tcPr>
            <w:tcW w:w="1500" w:type="dxa"/>
            <w:tcBorders>
              <w:top w:val="single" w:color="auto" w:sz="6" w:space="0"/>
              <w:left w:val="single" w:color="auto" w:sz="4" w:space="0"/>
              <w:bottom w:val="single" w:color="auto" w:sz="4" w:space="0"/>
              <w:right w:val="single" w:color="auto" w:sz="6" w:space="0"/>
            </w:tcBorders>
            <w:vAlign w:val="center"/>
          </w:tcPr>
          <w:p w14:paraId="6A611449">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5779" w:type="dxa"/>
            <w:tcBorders>
              <w:top w:val="single" w:color="auto" w:sz="6" w:space="0"/>
              <w:left w:val="single" w:color="auto" w:sz="6" w:space="0"/>
              <w:bottom w:val="single" w:color="auto" w:sz="4" w:space="0"/>
              <w:right w:val="single" w:color="auto" w:sz="4" w:space="0"/>
            </w:tcBorders>
            <w:vAlign w:val="center"/>
          </w:tcPr>
          <w:p w14:paraId="7C27FD0A">
            <w:pPr>
              <w:tabs>
                <w:tab w:val="left" w:pos="700"/>
              </w:tabs>
              <w:adjustRightInd w:val="0"/>
              <w:snapToGrid w:val="0"/>
              <w:rPr>
                <w:rFonts w:ascii="Times New Roman" w:hAnsi="Times New Roman"/>
                <w:szCs w:val="21"/>
              </w:rPr>
            </w:pPr>
          </w:p>
        </w:tc>
      </w:tr>
      <w:tr w14:paraId="20B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14:paraId="301A443B">
            <w:pPr>
              <w:widowControl/>
              <w:adjustRightInd w:val="0"/>
              <w:snapToGrid w:val="0"/>
              <w:rPr>
                <w:rFonts w:ascii="Times New Roman" w:hAnsi="Times New Roman"/>
                <w:szCs w:val="21"/>
              </w:rPr>
            </w:pPr>
          </w:p>
        </w:tc>
        <w:tc>
          <w:tcPr>
            <w:tcW w:w="409" w:type="dxa"/>
            <w:vMerge w:val="continue"/>
            <w:tcBorders>
              <w:left w:val="single" w:color="auto" w:sz="4" w:space="0"/>
              <w:bottom w:val="single" w:color="auto" w:sz="4" w:space="0"/>
              <w:right w:val="single" w:color="auto" w:sz="4" w:space="0"/>
            </w:tcBorders>
            <w:vAlign w:val="center"/>
          </w:tcPr>
          <w:p w14:paraId="3BF516C1">
            <w:pPr>
              <w:tabs>
                <w:tab w:val="left" w:pos="700"/>
              </w:tabs>
              <w:adjustRightInd w:val="0"/>
              <w:snapToGrid w:val="0"/>
              <w:jc w:val="center"/>
              <w:rPr>
                <w:rFonts w:ascii="Times New Roman" w:hAnsi="Times New Roman"/>
                <w:szCs w:val="21"/>
              </w:rPr>
            </w:pPr>
          </w:p>
        </w:tc>
        <w:tc>
          <w:tcPr>
            <w:tcW w:w="1500" w:type="dxa"/>
            <w:tcBorders>
              <w:top w:val="single" w:color="auto" w:sz="6" w:space="0"/>
              <w:left w:val="single" w:color="auto" w:sz="4" w:space="0"/>
              <w:bottom w:val="single" w:color="auto" w:sz="4" w:space="0"/>
              <w:right w:val="single" w:color="auto" w:sz="6" w:space="0"/>
            </w:tcBorders>
            <w:vAlign w:val="center"/>
          </w:tcPr>
          <w:p w14:paraId="53093705">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14:paraId="3120A390">
            <w:pPr>
              <w:tabs>
                <w:tab w:val="left" w:pos="700"/>
              </w:tabs>
              <w:adjustRightInd w:val="0"/>
              <w:snapToGrid w:val="0"/>
              <w:rPr>
                <w:rFonts w:ascii="Times New Roman" w:hAnsi="Times New Roman"/>
                <w:szCs w:val="21"/>
              </w:rPr>
            </w:pPr>
          </w:p>
        </w:tc>
      </w:tr>
      <w:tr w14:paraId="126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14:paraId="51763D2C">
            <w:pPr>
              <w:tabs>
                <w:tab w:val="left" w:pos="700"/>
              </w:tabs>
              <w:adjustRightInd w:val="0"/>
              <w:snapToGrid w:val="0"/>
              <w:jc w:val="center"/>
              <w:rPr>
                <w:rFonts w:ascii="Times New Roman" w:hAnsi="Times New Roman"/>
                <w:szCs w:val="21"/>
              </w:rPr>
            </w:pPr>
            <w:r>
              <w:rPr>
                <w:rFonts w:ascii="Times New Roman" w:hAnsi="Times New Roman"/>
                <w:szCs w:val="21"/>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61CC7E6C">
            <w:pPr>
              <w:tabs>
                <w:tab w:val="left" w:pos="700"/>
              </w:tabs>
              <w:adjustRightInd w:val="0"/>
              <w:snapToGrid w:val="0"/>
              <w:jc w:val="center"/>
              <w:rPr>
                <w:rFonts w:ascii="Times New Roman" w:hAnsi="Times New Roman"/>
                <w:szCs w:val="21"/>
              </w:rPr>
            </w:pPr>
            <w:r>
              <w:rPr>
                <w:rFonts w:ascii="Times New Roman" w:hAnsi="Times New Roman"/>
                <w:szCs w:val="21"/>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14:paraId="4FC39118">
            <w:pPr>
              <w:tabs>
                <w:tab w:val="left" w:pos="700"/>
              </w:tabs>
              <w:adjustRightInd w:val="0"/>
              <w:snapToGrid w:val="0"/>
              <w:rPr>
                <w:rFonts w:ascii="Times New Roman" w:hAnsi="Times New Roman"/>
                <w:szCs w:val="21"/>
              </w:rPr>
            </w:pPr>
          </w:p>
        </w:tc>
      </w:tr>
      <w:tr w14:paraId="7762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5A1D59A1">
            <w:pPr>
              <w:widowControl/>
              <w:adjustRightInd w:val="0"/>
              <w:snapToGrid w:val="0"/>
              <w:rPr>
                <w:rFonts w:ascii="Times New Roman" w:hAnsi="Times New Roman"/>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25C177FF">
            <w:pPr>
              <w:tabs>
                <w:tab w:val="left" w:pos="700"/>
              </w:tabs>
              <w:adjustRightInd w:val="0"/>
              <w:snapToGrid w:val="0"/>
              <w:jc w:val="center"/>
              <w:rPr>
                <w:rFonts w:ascii="Times New Roman" w:hAnsi="Times New Roman"/>
                <w:szCs w:val="21"/>
              </w:rPr>
            </w:pPr>
            <w:r>
              <w:rPr>
                <w:rFonts w:ascii="Times New Roman" w:hAnsi="Times New Roman"/>
                <w:szCs w:val="21"/>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14:paraId="6DBDB2F9">
            <w:pPr>
              <w:tabs>
                <w:tab w:val="left" w:pos="700"/>
              </w:tabs>
              <w:adjustRightInd w:val="0"/>
              <w:snapToGrid w:val="0"/>
              <w:rPr>
                <w:rFonts w:ascii="Times New Roman" w:hAnsi="Times New Roman"/>
                <w:szCs w:val="21"/>
              </w:rPr>
            </w:pPr>
            <w:r>
              <w:rPr>
                <w:rFonts w:ascii="Times New Roman" w:hAnsi="Times New Roman"/>
                <w:szCs w:val="21"/>
              </w:rPr>
              <w:sym w:font="Wingdings 2" w:char="00A3"/>
            </w:r>
            <w:r>
              <w:rPr>
                <w:rFonts w:ascii="Times New Roman" w:hAnsi="Times New Roman"/>
                <w:szCs w:val="21"/>
              </w:rPr>
              <w:t xml:space="preserve"> 中型企业     </w:t>
            </w:r>
            <w:r>
              <w:rPr>
                <w:rFonts w:ascii="Times New Roman" w:hAnsi="Times New Roman"/>
                <w:szCs w:val="21"/>
              </w:rPr>
              <w:sym w:font="Wingdings 2" w:char="00A3"/>
            </w:r>
            <w:r>
              <w:rPr>
                <w:rFonts w:ascii="Times New Roman" w:hAnsi="Times New Roman"/>
                <w:szCs w:val="21"/>
              </w:rPr>
              <w:t xml:space="preserve"> 小型企业            </w:t>
            </w:r>
            <w:r>
              <w:rPr>
                <w:rFonts w:ascii="Times New Roman" w:hAnsi="Times New Roman"/>
                <w:szCs w:val="21"/>
              </w:rPr>
              <w:sym w:font="Wingdings 2" w:char="00A3"/>
            </w:r>
            <w:r>
              <w:rPr>
                <w:rFonts w:ascii="Times New Roman" w:hAnsi="Times New Roman"/>
                <w:szCs w:val="21"/>
              </w:rPr>
              <w:t xml:space="preserve"> 微型企业    </w:t>
            </w:r>
          </w:p>
          <w:p w14:paraId="7536C10C">
            <w:pPr>
              <w:tabs>
                <w:tab w:val="left" w:pos="700"/>
              </w:tabs>
              <w:adjustRightInd w:val="0"/>
              <w:snapToGrid w:val="0"/>
              <w:rPr>
                <w:rFonts w:ascii="Times New Roman" w:hAnsi="Times New Roman"/>
                <w:szCs w:val="21"/>
              </w:rPr>
            </w:pPr>
            <w:r>
              <w:rPr>
                <w:rFonts w:ascii="Times New Roman" w:hAnsi="Times New Roman"/>
                <w:szCs w:val="21"/>
              </w:rPr>
              <w:sym w:font="Wingdings 2" w:char="00A3"/>
            </w:r>
            <w:r>
              <w:rPr>
                <w:rFonts w:ascii="Times New Roman" w:hAnsi="Times New Roman"/>
                <w:szCs w:val="21"/>
              </w:rPr>
              <w:t xml:space="preserve"> 监狱企业     </w:t>
            </w:r>
            <w:r>
              <w:rPr>
                <w:rFonts w:ascii="Times New Roman" w:hAnsi="Times New Roman"/>
                <w:szCs w:val="21"/>
              </w:rPr>
              <w:sym w:font="Wingdings 2" w:char="00A3"/>
            </w:r>
            <w:r>
              <w:rPr>
                <w:rFonts w:ascii="Times New Roman" w:hAnsi="Times New Roman"/>
                <w:szCs w:val="21"/>
              </w:rPr>
              <w:t xml:space="preserve"> 残疾人福利性单位    </w:t>
            </w:r>
            <w:r>
              <w:rPr>
                <w:rFonts w:ascii="Times New Roman" w:hAnsi="Times New Roman"/>
                <w:szCs w:val="21"/>
              </w:rPr>
              <w:sym w:font="Wingdings 2" w:char="00A3"/>
            </w:r>
            <w:r>
              <w:rPr>
                <w:rFonts w:ascii="Times New Roman" w:hAnsi="Times New Roman"/>
                <w:szCs w:val="21"/>
              </w:rPr>
              <w:t xml:space="preserve"> 其他</w:t>
            </w:r>
          </w:p>
        </w:tc>
      </w:tr>
      <w:tr w14:paraId="23BA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61144B71">
            <w:pPr>
              <w:widowControl/>
              <w:adjustRightInd w:val="0"/>
              <w:snapToGrid w:val="0"/>
              <w:rPr>
                <w:rFonts w:ascii="Times New Roman" w:hAnsi="Times New Roman"/>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6B539E15">
            <w:pPr>
              <w:tabs>
                <w:tab w:val="left" w:pos="700"/>
              </w:tabs>
              <w:adjustRightInd w:val="0"/>
              <w:snapToGrid w:val="0"/>
              <w:jc w:val="center"/>
              <w:rPr>
                <w:rFonts w:ascii="Times New Roman" w:hAnsi="Times New Roman"/>
                <w:szCs w:val="21"/>
              </w:rPr>
            </w:pPr>
            <w:r>
              <w:rPr>
                <w:rFonts w:ascii="Times New Roman" w:hAnsi="Times New Roman"/>
                <w:szCs w:val="21"/>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14:paraId="1EE77688">
            <w:pPr>
              <w:tabs>
                <w:tab w:val="left" w:pos="700"/>
              </w:tabs>
              <w:adjustRightInd w:val="0"/>
              <w:snapToGrid w:val="0"/>
              <w:rPr>
                <w:rFonts w:ascii="Times New Roman" w:hAnsi="Times New Roman"/>
                <w:szCs w:val="21"/>
              </w:rPr>
            </w:pPr>
          </w:p>
        </w:tc>
      </w:tr>
      <w:tr w14:paraId="116E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0FD4A4B7">
            <w:pPr>
              <w:widowControl/>
              <w:adjustRightInd w:val="0"/>
              <w:snapToGrid w:val="0"/>
              <w:rPr>
                <w:rFonts w:ascii="Times New Roman" w:hAnsi="Times New Roman"/>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BBA799A">
            <w:pPr>
              <w:tabs>
                <w:tab w:val="left" w:pos="700"/>
              </w:tabs>
              <w:adjustRightInd w:val="0"/>
              <w:snapToGrid w:val="0"/>
              <w:jc w:val="center"/>
              <w:rPr>
                <w:rFonts w:ascii="Times New Roman" w:hAnsi="Times New Roman"/>
                <w:szCs w:val="21"/>
              </w:rPr>
            </w:pPr>
            <w:r>
              <w:rPr>
                <w:rFonts w:ascii="Times New Roman" w:hAnsi="Times New Roman"/>
                <w:szCs w:val="21"/>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14:paraId="5722BFFD">
            <w:pPr>
              <w:tabs>
                <w:tab w:val="left" w:pos="700"/>
              </w:tabs>
              <w:adjustRightInd w:val="0"/>
              <w:snapToGrid w:val="0"/>
              <w:rPr>
                <w:rFonts w:ascii="Times New Roman" w:hAnsi="Times New Roman"/>
                <w:szCs w:val="21"/>
              </w:rPr>
            </w:pPr>
          </w:p>
        </w:tc>
      </w:tr>
      <w:tr w14:paraId="088E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142BA45A">
            <w:pPr>
              <w:widowControl/>
              <w:adjustRightInd w:val="0"/>
              <w:snapToGrid w:val="0"/>
              <w:rPr>
                <w:rFonts w:ascii="Times New Roman" w:hAnsi="Times New Roman"/>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9610EA0">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14:paraId="2EF325F3">
            <w:pPr>
              <w:tabs>
                <w:tab w:val="left" w:pos="700"/>
              </w:tabs>
              <w:adjustRightInd w:val="0"/>
              <w:snapToGrid w:val="0"/>
              <w:rPr>
                <w:rFonts w:ascii="Times New Roman" w:hAnsi="Times New Roman"/>
                <w:szCs w:val="21"/>
              </w:rPr>
            </w:pPr>
          </w:p>
        </w:tc>
      </w:tr>
      <w:tr w14:paraId="2842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65EBC0FF">
            <w:pPr>
              <w:widowControl/>
              <w:adjustRightInd w:val="0"/>
              <w:snapToGrid w:val="0"/>
              <w:rPr>
                <w:rFonts w:ascii="Times New Roman" w:hAnsi="Times New Roman"/>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463764A3">
            <w:pPr>
              <w:tabs>
                <w:tab w:val="left" w:pos="700"/>
              </w:tabs>
              <w:adjustRightInd w:val="0"/>
              <w:snapToGrid w:val="0"/>
              <w:jc w:val="center"/>
              <w:rPr>
                <w:rFonts w:ascii="Times New Roman" w:hAnsi="Times New Roman"/>
                <w:szCs w:val="21"/>
              </w:rPr>
            </w:pPr>
            <w:r>
              <w:rPr>
                <w:rFonts w:ascii="Times New Roman" w:hAnsi="Times New Roman"/>
                <w:szCs w:val="21"/>
              </w:rPr>
              <w:t>传真</w:t>
            </w:r>
          </w:p>
        </w:tc>
        <w:tc>
          <w:tcPr>
            <w:tcW w:w="5779" w:type="dxa"/>
            <w:tcBorders>
              <w:top w:val="single" w:color="auto" w:sz="4" w:space="0"/>
              <w:left w:val="single" w:color="auto" w:sz="4" w:space="0"/>
              <w:bottom w:val="single" w:color="auto" w:sz="4" w:space="0"/>
              <w:right w:val="single" w:color="auto" w:sz="4" w:space="0"/>
            </w:tcBorders>
            <w:vAlign w:val="center"/>
          </w:tcPr>
          <w:p w14:paraId="3FCE9E06">
            <w:pPr>
              <w:tabs>
                <w:tab w:val="left" w:pos="700"/>
              </w:tabs>
              <w:adjustRightInd w:val="0"/>
              <w:snapToGrid w:val="0"/>
              <w:rPr>
                <w:rFonts w:ascii="Times New Roman" w:hAnsi="Times New Roman"/>
                <w:szCs w:val="21"/>
              </w:rPr>
            </w:pPr>
          </w:p>
        </w:tc>
      </w:tr>
      <w:tr w14:paraId="717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14:paraId="0D6AC3F0">
            <w:pPr>
              <w:tabs>
                <w:tab w:val="left" w:pos="700"/>
              </w:tabs>
              <w:adjustRightInd w:val="0"/>
              <w:snapToGrid w:val="0"/>
              <w:jc w:val="center"/>
              <w:rPr>
                <w:rFonts w:ascii="Times New Roman" w:hAnsi="Times New Roman"/>
                <w:szCs w:val="21"/>
              </w:rPr>
            </w:pPr>
            <w:r>
              <w:rPr>
                <w:rFonts w:ascii="Times New Roman" w:hAnsi="Times New Roman"/>
                <w:szCs w:val="21"/>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F8276D4">
            <w:pPr>
              <w:tabs>
                <w:tab w:val="left" w:pos="700"/>
              </w:tabs>
              <w:adjustRightInd w:val="0"/>
              <w:snapToGrid w:val="0"/>
              <w:jc w:val="center"/>
              <w:rPr>
                <w:rFonts w:ascii="Times New Roman" w:hAnsi="Times New Roman"/>
                <w:szCs w:val="21"/>
              </w:rPr>
            </w:pPr>
            <w:r>
              <w:rPr>
                <w:rFonts w:ascii="Times New Roman" w:hAnsi="Times New Roman"/>
                <w:szCs w:val="21"/>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14:paraId="15E094ED">
            <w:pPr>
              <w:tabs>
                <w:tab w:val="left" w:pos="700"/>
              </w:tabs>
              <w:adjustRightInd w:val="0"/>
              <w:snapToGrid w:val="0"/>
              <w:rPr>
                <w:rFonts w:ascii="Times New Roman" w:hAnsi="Times New Roman"/>
                <w:szCs w:val="21"/>
              </w:rPr>
            </w:pPr>
            <w:r>
              <w:rPr>
                <w:rFonts w:ascii="Times New Roman" w:hAnsi="Times New Roman"/>
                <w:szCs w:val="21"/>
              </w:rPr>
              <w:t>人民币</w:t>
            </w:r>
            <w:r>
              <w:rPr>
                <w:rFonts w:ascii="Times New Roman" w:hAnsi="Times New Roman"/>
                <w:szCs w:val="21"/>
                <w:u w:val="single"/>
              </w:rPr>
              <w:t xml:space="preserve">        </w:t>
            </w:r>
            <w:r>
              <w:rPr>
                <w:rFonts w:ascii="Times New Roman" w:hAnsi="Times New Roman"/>
                <w:szCs w:val="21"/>
              </w:rPr>
              <w:t>元整（¥</w:t>
            </w:r>
            <w:r>
              <w:rPr>
                <w:rFonts w:ascii="Times New Roman" w:hAnsi="Times New Roman"/>
                <w:szCs w:val="21"/>
                <w:u w:val="single"/>
              </w:rPr>
              <w:t xml:space="preserve">           </w:t>
            </w:r>
            <w:r>
              <w:rPr>
                <w:rFonts w:ascii="Times New Roman" w:hAnsi="Times New Roman"/>
                <w:szCs w:val="21"/>
              </w:rPr>
              <w:t>）。</w:t>
            </w:r>
          </w:p>
        </w:tc>
      </w:tr>
      <w:tr w14:paraId="0DF5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14:paraId="569B2562">
            <w:pPr>
              <w:tabs>
                <w:tab w:val="left" w:pos="700"/>
              </w:tabs>
              <w:adjustRightInd w:val="0"/>
              <w:snapToGrid w:val="0"/>
              <w:jc w:val="center"/>
              <w:rPr>
                <w:rFonts w:ascii="Times New Roman" w:hAnsi="Times New Roman"/>
                <w:szCs w:val="21"/>
              </w:rPr>
            </w:pPr>
            <w:r>
              <w:rPr>
                <w:rFonts w:ascii="Times New Roman" w:hAnsi="Times New Roman"/>
                <w:szCs w:val="21"/>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34EADBC4">
            <w:pPr>
              <w:tabs>
                <w:tab w:val="left" w:pos="700"/>
              </w:tabs>
              <w:adjustRightInd w:val="0"/>
              <w:snapToGrid w:val="0"/>
              <w:jc w:val="center"/>
              <w:rPr>
                <w:rFonts w:ascii="Times New Roman" w:hAnsi="Times New Roman"/>
                <w:szCs w:val="21"/>
              </w:rPr>
            </w:pPr>
            <w:r>
              <w:rPr>
                <w:rFonts w:ascii="Times New Roman" w:hAnsi="Times New Roman"/>
                <w:szCs w:val="21"/>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14:paraId="6930831F">
            <w:pPr>
              <w:tabs>
                <w:tab w:val="left" w:pos="700"/>
              </w:tabs>
              <w:adjustRightInd w:val="0"/>
              <w:snapToGrid w:val="0"/>
              <w:rPr>
                <w:rFonts w:ascii="Times New Roman" w:hAnsi="Times New Roman"/>
                <w:szCs w:val="21"/>
              </w:rPr>
            </w:pPr>
            <w:r>
              <w:rPr>
                <w:rFonts w:ascii="Times New Roman" w:hAnsi="Times New Roman"/>
                <w:szCs w:val="21"/>
              </w:rPr>
              <w:t>概述服务内容，详见招标文件采购需求。</w:t>
            </w:r>
          </w:p>
          <w:p w14:paraId="562A2E09">
            <w:pPr>
              <w:tabs>
                <w:tab w:val="left" w:pos="700"/>
              </w:tabs>
              <w:adjustRightInd w:val="0"/>
              <w:snapToGrid w:val="0"/>
              <w:rPr>
                <w:rFonts w:ascii="Times New Roman" w:hAnsi="Times New Roman"/>
                <w:szCs w:val="21"/>
              </w:rPr>
            </w:pPr>
          </w:p>
          <w:p w14:paraId="2482FFBB">
            <w:pPr>
              <w:tabs>
                <w:tab w:val="left" w:pos="700"/>
              </w:tabs>
              <w:adjustRightInd w:val="0"/>
              <w:snapToGrid w:val="0"/>
              <w:rPr>
                <w:rFonts w:ascii="Times New Roman" w:hAnsi="Times New Roman"/>
                <w:szCs w:val="21"/>
              </w:rPr>
            </w:pPr>
          </w:p>
          <w:p w14:paraId="45AE622A">
            <w:pPr>
              <w:tabs>
                <w:tab w:val="left" w:pos="700"/>
              </w:tabs>
              <w:adjustRightInd w:val="0"/>
              <w:snapToGrid w:val="0"/>
              <w:rPr>
                <w:rFonts w:ascii="Times New Roman" w:hAnsi="Times New Roman"/>
                <w:szCs w:val="21"/>
              </w:rPr>
            </w:pPr>
          </w:p>
          <w:p w14:paraId="7E440680">
            <w:pPr>
              <w:tabs>
                <w:tab w:val="left" w:pos="700"/>
              </w:tabs>
              <w:adjustRightInd w:val="0"/>
              <w:snapToGrid w:val="0"/>
              <w:rPr>
                <w:rFonts w:ascii="Times New Roman" w:hAnsi="Times New Roman"/>
                <w:szCs w:val="21"/>
              </w:rPr>
            </w:pPr>
          </w:p>
          <w:p w14:paraId="65830C68">
            <w:pPr>
              <w:tabs>
                <w:tab w:val="left" w:pos="700"/>
              </w:tabs>
              <w:adjustRightInd w:val="0"/>
              <w:snapToGrid w:val="0"/>
              <w:rPr>
                <w:rFonts w:ascii="Times New Roman" w:hAnsi="Times New Roman"/>
                <w:szCs w:val="21"/>
              </w:rPr>
            </w:pPr>
          </w:p>
          <w:p w14:paraId="25F11911">
            <w:pPr>
              <w:tabs>
                <w:tab w:val="left" w:pos="700"/>
              </w:tabs>
              <w:adjustRightInd w:val="0"/>
              <w:snapToGrid w:val="0"/>
              <w:rPr>
                <w:rFonts w:ascii="Times New Roman" w:hAnsi="Times New Roman"/>
                <w:szCs w:val="21"/>
              </w:rPr>
            </w:pPr>
          </w:p>
          <w:p w14:paraId="39A890C7">
            <w:pPr>
              <w:tabs>
                <w:tab w:val="left" w:pos="700"/>
              </w:tabs>
              <w:adjustRightInd w:val="0"/>
              <w:snapToGrid w:val="0"/>
              <w:rPr>
                <w:rFonts w:ascii="Times New Roman" w:hAnsi="Times New Roman"/>
                <w:szCs w:val="21"/>
              </w:rPr>
            </w:pPr>
          </w:p>
          <w:p w14:paraId="64265B9B">
            <w:pPr>
              <w:tabs>
                <w:tab w:val="left" w:pos="700"/>
              </w:tabs>
              <w:adjustRightInd w:val="0"/>
              <w:snapToGrid w:val="0"/>
              <w:rPr>
                <w:rFonts w:ascii="Times New Roman" w:hAnsi="Times New Roman"/>
                <w:szCs w:val="21"/>
              </w:rPr>
            </w:pPr>
          </w:p>
        </w:tc>
      </w:tr>
      <w:tr w14:paraId="6E6A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14:paraId="1101D5A0">
            <w:pPr>
              <w:tabs>
                <w:tab w:val="left" w:pos="700"/>
              </w:tabs>
              <w:adjustRightInd w:val="0"/>
              <w:snapToGrid w:val="0"/>
              <w:jc w:val="center"/>
              <w:rPr>
                <w:rFonts w:ascii="Times New Roman" w:hAnsi="Times New Roman"/>
                <w:szCs w:val="21"/>
              </w:rPr>
            </w:pPr>
            <w:r>
              <w:rPr>
                <w:rFonts w:ascii="Times New Roman" w:hAnsi="Times New Roman"/>
                <w:szCs w:val="21"/>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82A1FB9">
            <w:pPr>
              <w:tabs>
                <w:tab w:val="left" w:pos="700"/>
              </w:tabs>
              <w:adjustRightInd w:val="0"/>
              <w:snapToGrid w:val="0"/>
              <w:jc w:val="center"/>
              <w:rPr>
                <w:rFonts w:ascii="Times New Roman" w:hAnsi="Times New Roman"/>
                <w:szCs w:val="21"/>
              </w:rPr>
            </w:pPr>
            <w:r>
              <w:rPr>
                <w:rFonts w:ascii="Times New Roman" w:hAnsi="Times New Roman"/>
                <w:szCs w:val="21"/>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14:paraId="4B494026">
            <w:pPr>
              <w:pStyle w:val="71"/>
              <w:tabs>
                <w:tab w:val="left" w:pos="840"/>
              </w:tabs>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合同以人民币结算，付款方式：</w:t>
            </w:r>
          </w:p>
          <w:p w14:paraId="39ECEF08">
            <w:pPr>
              <w:pStyle w:val="71"/>
              <w:tabs>
                <w:tab w:val="left" w:pos="840"/>
              </w:tabs>
              <w:adjustRightInd w:val="0"/>
              <w:snapToGrid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第一次付款：在</w:t>
            </w:r>
            <w:r>
              <w:rPr>
                <w:rFonts w:hint="eastAsia" w:ascii="宋体" w:hAnsi="宋体" w:eastAsia="宋体" w:cs="宋体"/>
                <w:sz w:val="21"/>
                <w:szCs w:val="21"/>
                <w:u w:val="single"/>
              </w:rPr>
              <w:t xml:space="preserve">       </w:t>
            </w:r>
            <w:r>
              <w:rPr>
                <w:rFonts w:hint="eastAsia" w:ascii="宋体" w:hAnsi="宋体" w:eastAsia="宋体" w:cs="宋体"/>
                <w:sz w:val="21"/>
                <w:szCs w:val="21"/>
              </w:rPr>
              <w:t>后，甲方支付乙方合同金额</w:t>
            </w:r>
            <w:r>
              <w:rPr>
                <w:rFonts w:hint="eastAsia" w:ascii="宋体" w:hAnsi="宋体" w:eastAsia="宋体" w:cs="宋体"/>
                <w:sz w:val="21"/>
                <w:szCs w:val="21"/>
                <w:u w:val="single"/>
                <w:lang w:val="en"/>
              </w:rPr>
              <w:t xml:space="preserve">  </w:t>
            </w:r>
            <w:r>
              <w:rPr>
                <w:rFonts w:hint="eastAsia" w:ascii="宋体" w:hAnsi="宋体" w:eastAsia="宋体" w:cs="宋体"/>
                <w:sz w:val="21"/>
                <w:szCs w:val="21"/>
              </w:rPr>
              <w:t>%的款项，即人民币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EB3AED5">
            <w:pPr>
              <w:pStyle w:val="71"/>
              <w:tabs>
                <w:tab w:val="left" w:pos="840"/>
              </w:tabs>
              <w:adjustRightInd w:val="0"/>
              <w:snapToGrid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第二次付款：在</w:t>
            </w:r>
            <w:r>
              <w:rPr>
                <w:rFonts w:hint="eastAsia" w:ascii="宋体" w:hAnsi="宋体" w:eastAsia="宋体" w:cs="宋体"/>
                <w:sz w:val="21"/>
                <w:szCs w:val="21"/>
                <w:u w:val="single"/>
              </w:rPr>
              <w:t xml:space="preserve">      </w:t>
            </w:r>
            <w:r>
              <w:rPr>
                <w:rFonts w:hint="eastAsia" w:ascii="宋体" w:hAnsi="宋体" w:eastAsia="宋体" w:cs="宋体"/>
                <w:sz w:val="21"/>
                <w:szCs w:val="21"/>
              </w:rPr>
              <w:t>后，甲方支付乙方合同金额</w:t>
            </w:r>
            <w:r>
              <w:rPr>
                <w:rFonts w:hint="eastAsia" w:ascii="宋体" w:hAnsi="宋体" w:eastAsia="宋体" w:cs="宋体"/>
                <w:sz w:val="21"/>
                <w:szCs w:val="21"/>
                <w:u w:val="single"/>
                <w:lang w:val="en"/>
              </w:rPr>
              <w:t xml:space="preserve">  </w:t>
            </w:r>
            <w:r>
              <w:rPr>
                <w:rFonts w:hint="eastAsia" w:ascii="宋体" w:hAnsi="宋体" w:eastAsia="宋体" w:cs="宋体"/>
                <w:sz w:val="21"/>
                <w:szCs w:val="21"/>
              </w:rPr>
              <w:t>%的款项，即人民币</w:t>
            </w:r>
            <w:r>
              <w:rPr>
                <w:rFonts w:hint="eastAsia" w:ascii="宋体" w:hAnsi="宋体" w:eastAsia="宋体" w:cs="宋体"/>
                <w:sz w:val="21"/>
                <w:szCs w:val="21"/>
                <w:u w:val="single"/>
                <w:lang w:val="en"/>
              </w:rPr>
              <w:t xml:space="preserve">        </w:t>
            </w:r>
            <w:r>
              <w:rPr>
                <w:rFonts w:hint="eastAsia" w:ascii="宋体" w:hAnsi="宋体" w:eastAsia="宋体" w:cs="宋体"/>
                <w:sz w:val="21"/>
                <w:szCs w:val="21"/>
              </w:rPr>
              <w:t>元整（¥</w:t>
            </w:r>
            <w:r>
              <w:rPr>
                <w:rFonts w:hint="eastAsia" w:ascii="宋体" w:hAnsi="宋体" w:eastAsia="宋体" w:cs="宋体"/>
                <w:sz w:val="21"/>
                <w:szCs w:val="21"/>
                <w:u w:val="single"/>
                <w:lang w:val="en"/>
              </w:rPr>
              <w:t xml:space="preserve">        </w:t>
            </w:r>
            <w:r>
              <w:rPr>
                <w:rFonts w:hint="eastAsia" w:ascii="宋体" w:hAnsi="宋体" w:eastAsia="宋体" w:cs="宋体"/>
                <w:sz w:val="21"/>
                <w:szCs w:val="21"/>
              </w:rPr>
              <w:t>）；</w:t>
            </w:r>
          </w:p>
          <w:p w14:paraId="7F0699E7">
            <w:pPr>
              <w:pStyle w:val="71"/>
              <w:tabs>
                <w:tab w:val="left" w:pos="840"/>
              </w:tabs>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
              </w:rPr>
              <w:t>......</w:t>
            </w:r>
          </w:p>
          <w:p w14:paraId="240D45CC">
            <w:pPr>
              <w:pStyle w:val="71"/>
              <w:tabs>
                <w:tab w:val="left" w:pos="840"/>
              </w:tabs>
              <w:adjustRightInd w:val="0"/>
              <w:snapToGrid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每次办理付款时，乙方应提供发票、付款申请（格式另附）、合同或合同关键页复印件、合同约定的其他资料。涉及验收的，应同时提交验收意见。</w:t>
            </w:r>
          </w:p>
          <w:p w14:paraId="26A2E300">
            <w:pPr>
              <w:pStyle w:val="71"/>
              <w:tabs>
                <w:tab w:val="left" w:pos="840"/>
              </w:tabs>
              <w:adjustRightInd w:val="0"/>
              <w:snapToGrid w:val="0"/>
              <w:ind w:firstLine="420" w:firstLineChars="200"/>
              <w:jc w:val="left"/>
              <w:rPr>
                <w:rFonts w:ascii="Times New Roman" w:hAnsi="Times New Roman"/>
                <w:sz w:val="21"/>
                <w:szCs w:val="21"/>
              </w:rPr>
            </w:pPr>
            <w:r>
              <w:rPr>
                <w:rFonts w:hint="eastAsia" w:ascii="宋体" w:hAnsi="宋体" w:eastAsia="宋体" w:cs="宋体"/>
                <w:sz w:val="21"/>
                <w:szCs w:val="21"/>
              </w:rPr>
              <w:t>甲方在收到发票等合同约定资料后，进行核实。满足合同约定支付条件的，自收到发票后</w:t>
            </w:r>
            <w:r>
              <w:rPr>
                <w:rFonts w:hint="eastAsia" w:ascii="宋体" w:hAnsi="宋体" w:eastAsia="宋体" w:cs="宋体"/>
                <w:sz w:val="21"/>
                <w:szCs w:val="21"/>
                <w:u w:val="single"/>
              </w:rPr>
              <w:t xml:space="preserve">   </w:t>
            </w:r>
            <w:r>
              <w:rPr>
                <w:rFonts w:hint="eastAsia" w:ascii="宋体" w:hAnsi="宋体" w:eastAsia="宋体" w:cs="宋体"/>
                <w:sz w:val="21"/>
                <w:szCs w:val="21"/>
              </w:rPr>
              <w:t>日内将资金支付到乙方账户，特殊情形付款期限最长不超过</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c>
      </w:tr>
      <w:tr w14:paraId="0C7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14:paraId="77F03E3E">
            <w:pPr>
              <w:tabs>
                <w:tab w:val="left" w:pos="700"/>
              </w:tabs>
              <w:adjustRightInd w:val="0"/>
              <w:snapToGrid w:val="0"/>
              <w:jc w:val="center"/>
              <w:rPr>
                <w:rFonts w:ascii="Times New Roman" w:hAnsi="Times New Roman"/>
                <w:szCs w:val="21"/>
              </w:rPr>
            </w:pPr>
            <w:r>
              <w:rPr>
                <w:rFonts w:ascii="Times New Roman" w:hAnsi="Times New Roman"/>
                <w:szCs w:val="21"/>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D9E3F23">
            <w:pPr>
              <w:tabs>
                <w:tab w:val="left" w:pos="700"/>
              </w:tabs>
              <w:adjustRightInd w:val="0"/>
              <w:snapToGrid w:val="0"/>
              <w:jc w:val="center"/>
              <w:rPr>
                <w:rFonts w:ascii="Times New Roman" w:hAnsi="Times New Roman"/>
                <w:szCs w:val="21"/>
              </w:rPr>
            </w:pPr>
            <w:r>
              <w:rPr>
                <w:rFonts w:ascii="Times New Roman" w:hAnsi="Times New Roman"/>
                <w:szCs w:val="21"/>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14:paraId="7DB7FF46">
            <w:pPr>
              <w:tabs>
                <w:tab w:val="left" w:pos="700"/>
              </w:tabs>
              <w:adjustRightInd w:val="0"/>
              <w:snapToGrid w:val="0"/>
              <w:rPr>
                <w:rFonts w:ascii="Times New Roman" w:hAnsi="Times New Roman"/>
                <w:szCs w:val="21"/>
              </w:rPr>
            </w:pPr>
            <w:r>
              <w:rPr>
                <w:rFonts w:ascii="Times New Roman" w:hAnsi="Times New Roman"/>
                <w:szCs w:val="21"/>
              </w:rPr>
              <w:t>□本项目不要求提供履约保证金。</w:t>
            </w:r>
          </w:p>
          <w:p w14:paraId="10DED36C">
            <w:pPr>
              <w:tabs>
                <w:tab w:val="left" w:pos="700"/>
              </w:tabs>
              <w:adjustRightInd w:val="0"/>
              <w:snapToGrid w:val="0"/>
              <w:rPr>
                <w:rFonts w:ascii="Times New Roman" w:hAnsi="Times New Roman"/>
                <w:szCs w:val="21"/>
              </w:rPr>
            </w:pPr>
            <w:r>
              <w:rPr>
                <w:rFonts w:ascii="Times New Roman" w:hAnsi="Times New Roman"/>
                <w:szCs w:val="21"/>
              </w:rPr>
              <w:t>□本项目要求提供履约保证金。履约保证金为合同总金额的</w:t>
            </w:r>
            <w:r>
              <w:rPr>
                <w:rFonts w:ascii="Times New Roman" w:hAnsi="Times New Roman"/>
                <w:szCs w:val="21"/>
                <w:u w:val="single"/>
              </w:rPr>
              <w:t xml:space="preserve">   </w:t>
            </w:r>
            <w:r>
              <w:rPr>
                <w:rFonts w:ascii="Times New Roman" w:hAnsi="Times New Roman"/>
                <w:szCs w:val="21"/>
              </w:rPr>
              <w:t>%，即人民币</w:t>
            </w:r>
            <w:r>
              <w:rPr>
                <w:rFonts w:ascii="Times New Roman" w:hAnsi="Times New Roman"/>
                <w:szCs w:val="21"/>
                <w:u w:val="single"/>
                <w:lang w:val="en"/>
              </w:rPr>
              <w:t xml:space="preserve">    </w:t>
            </w:r>
            <w:r>
              <w:rPr>
                <w:rFonts w:ascii="Times New Roman" w:hAnsi="Times New Roman"/>
                <w:szCs w:val="21"/>
                <w:u w:val="single"/>
              </w:rPr>
              <w:t xml:space="preserve">  </w:t>
            </w:r>
            <w:r>
              <w:rPr>
                <w:rFonts w:ascii="Times New Roman" w:hAnsi="Times New Roman"/>
                <w:szCs w:val="21"/>
                <w:u w:val="single"/>
                <w:lang w:val="en"/>
              </w:rPr>
              <w:t xml:space="preserve"> </w:t>
            </w:r>
            <w:r>
              <w:rPr>
                <w:rFonts w:ascii="Times New Roman" w:hAnsi="Times New Roman"/>
                <w:szCs w:val="21"/>
                <w:lang w:val="en"/>
              </w:rPr>
              <w:t>元</w:t>
            </w:r>
            <w:r>
              <w:rPr>
                <w:rFonts w:ascii="Times New Roman" w:hAnsi="Times New Roman"/>
                <w:szCs w:val="21"/>
              </w:rPr>
              <w:t>整（¥</w:t>
            </w:r>
            <w:r>
              <w:rPr>
                <w:rFonts w:ascii="Times New Roman" w:hAnsi="Times New Roman"/>
                <w:szCs w:val="21"/>
                <w:u w:val="single"/>
                <w:lang w:val="en"/>
              </w:rPr>
              <w:t xml:space="preserve">     </w:t>
            </w:r>
            <w:r>
              <w:rPr>
                <w:rFonts w:ascii="Times New Roman" w:hAnsi="Times New Roman"/>
                <w:szCs w:val="21"/>
                <w:u w:val="single"/>
              </w:rPr>
              <w:t xml:space="preserve"> </w:t>
            </w:r>
            <w:r>
              <w:rPr>
                <w:rFonts w:ascii="Times New Roman" w:hAnsi="Times New Roman"/>
                <w:szCs w:val="21"/>
                <w:u w:val="single"/>
                <w:lang w:val="en"/>
              </w:rPr>
              <w:t xml:space="preserve"> </w:t>
            </w:r>
            <w:r>
              <w:rPr>
                <w:rFonts w:ascii="Times New Roman" w:hAnsi="Times New Roman"/>
                <w:szCs w:val="21"/>
              </w:rPr>
              <w:t>），乙方应在合同签订之日起 30 日内提交甲方。提交方式为银行电汇、金融机构或担保机构出具的保函。在合同履行期满，扣除应扣除的款项（如有）且双方无争议后，无息返还。</w:t>
            </w:r>
          </w:p>
          <w:p w14:paraId="781DBE01">
            <w:pPr>
              <w:tabs>
                <w:tab w:val="left" w:pos="700"/>
              </w:tabs>
              <w:adjustRightInd w:val="0"/>
              <w:snapToGrid w:val="0"/>
              <w:ind w:firstLine="420" w:firstLineChars="200"/>
              <w:rPr>
                <w:rFonts w:ascii="Times New Roman" w:hAnsi="Times New Roman"/>
                <w:szCs w:val="21"/>
              </w:rPr>
            </w:pPr>
            <w:r>
              <w:rPr>
                <w:rFonts w:ascii="Times New Roman" w:hAnsi="Times New Roman"/>
                <w:szCs w:val="21"/>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14:paraId="4C9B5417">
            <w:pPr>
              <w:tabs>
                <w:tab w:val="left" w:pos="700"/>
              </w:tabs>
              <w:adjustRightInd w:val="0"/>
              <w:snapToGrid w:val="0"/>
              <w:ind w:firstLine="420" w:firstLineChars="200"/>
              <w:rPr>
                <w:rFonts w:ascii="Times New Roman" w:hAnsi="Times New Roman"/>
                <w:szCs w:val="21"/>
              </w:rPr>
            </w:pPr>
            <w:r>
              <w:rPr>
                <w:rFonts w:ascii="Times New Roman" w:hAnsi="Times New Roman"/>
                <w:szCs w:val="21"/>
              </w:rPr>
              <w:t>满足履约保证金返还条件的，甲方在收到返还相关信息等合同约定资料后，进行核实。对核实结果无异议的，自完成核实之日起30日内，以</w:t>
            </w:r>
            <w:r>
              <w:rPr>
                <w:rFonts w:ascii="Times New Roman" w:hAnsi="Times New Roman"/>
                <w:szCs w:val="21"/>
                <w:u w:val="single"/>
              </w:rPr>
              <w:t xml:space="preserve">      </w:t>
            </w:r>
            <w:r>
              <w:rPr>
                <w:rFonts w:ascii="Times New Roman" w:hAnsi="Times New Roman"/>
                <w:szCs w:val="21"/>
              </w:rPr>
              <w:t>方式返还履约保证金或退回保函。</w:t>
            </w:r>
          </w:p>
        </w:tc>
      </w:tr>
      <w:tr w14:paraId="1AD9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14:paraId="0E1585EF">
            <w:pPr>
              <w:tabs>
                <w:tab w:val="left" w:pos="700"/>
              </w:tabs>
              <w:adjustRightInd w:val="0"/>
              <w:snapToGrid w:val="0"/>
              <w:jc w:val="center"/>
              <w:rPr>
                <w:rFonts w:ascii="Times New Roman" w:hAnsi="Times New Roman"/>
                <w:szCs w:val="21"/>
              </w:rPr>
            </w:pPr>
            <w:r>
              <w:rPr>
                <w:rFonts w:ascii="Times New Roman" w:hAnsi="Times New Roman"/>
                <w:szCs w:val="21"/>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7AD5C87B">
            <w:pPr>
              <w:tabs>
                <w:tab w:val="left" w:pos="700"/>
              </w:tabs>
              <w:adjustRightInd w:val="0"/>
              <w:snapToGrid w:val="0"/>
              <w:jc w:val="center"/>
              <w:rPr>
                <w:rFonts w:ascii="Times New Roman" w:hAnsi="Times New Roman"/>
                <w:szCs w:val="21"/>
              </w:rPr>
            </w:pPr>
            <w:r>
              <w:rPr>
                <w:rFonts w:ascii="Times New Roman" w:hAnsi="Times New Roman"/>
                <w:szCs w:val="21"/>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14:paraId="797BBA11">
            <w:pPr>
              <w:tabs>
                <w:tab w:val="left" w:pos="700"/>
              </w:tabs>
              <w:adjustRightInd w:val="0"/>
              <w:snapToGrid w:val="0"/>
              <w:rPr>
                <w:rFonts w:ascii="Times New Roman" w:hAnsi="Times New Roman"/>
                <w:szCs w:val="21"/>
              </w:rPr>
            </w:pPr>
            <w:r>
              <w:rPr>
                <w:rFonts w:ascii="Times New Roman" w:hAnsi="Times New Roman"/>
                <w:szCs w:val="21"/>
              </w:rPr>
              <w:t>自合同签订之日起至合同全部权利义务履行完毕之日止</w:t>
            </w:r>
          </w:p>
        </w:tc>
      </w:tr>
      <w:tr w14:paraId="37F2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14:paraId="5ED1BAA6">
            <w:pPr>
              <w:tabs>
                <w:tab w:val="left" w:pos="700"/>
              </w:tabs>
              <w:adjustRightInd w:val="0"/>
              <w:snapToGrid w:val="0"/>
              <w:jc w:val="center"/>
              <w:rPr>
                <w:rFonts w:ascii="Times New Roman" w:hAnsi="Times New Roman"/>
                <w:szCs w:val="21"/>
              </w:rPr>
            </w:pPr>
            <w:r>
              <w:rPr>
                <w:rFonts w:ascii="Times New Roman" w:hAnsi="Times New Roman"/>
                <w:szCs w:val="21"/>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55FE8365">
            <w:pPr>
              <w:tabs>
                <w:tab w:val="left" w:pos="700"/>
              </w:tabs>
              <w:adjustRightInd w:val="0"/>
              <w:snapToGrid w:val="0"/>
              <w:jc w:val="center"/>
              <w:rPr>
                <w:rFonts w:ascii="Times New Roman" w:hAnsi="Times New Roman"/>
                <w:szCs w:val="21"/>
                <w:lang w:val="en"/>
              </w:rPr>
            </w:pPr>
            <w:r>
              <w:rPr>
                <w:rFonts w:ascii="Times New Roman" w:hAnsi="Times New Roman"/>
                <w:szCs w:val="21"/>
              </w:rPr>
              <w:t>服务期</w:t>
            </w:r>
          </w:p>
        </w:tc>
        <w:tc>
          <w:tcPr>
            <w:tcW w:w="5779" w:type="dxa"/>
            <w:tcBorders>
              <w:top w:val="single" w:color="auto" w:sz="4" w:space="0"/>
              <w:left w:val="single" w:color="auto" w:sz="4" w:space="0"/>
              <w:bottom w:val="single" w:color="auto" w:sz="4" w:space="0"/>
              <w:right w:val="single" w:color="auto" w:sz="4" w:space="0"/>
            </w:tcBorders>
            <w:vAlign w:val="center"/>
          </w:tcPr>
          <w:p w14:paraId="0491011E">
            <w:pPr>
              <w:tabs>
                <w:tab w:val="left" w:pos="700"/>
              </w:tabs>
              <w:adjustRightInd w:val="0"/>
              <w:snapToGrid w:val="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日至</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tc>
      </w:tr>
      <w:tr w14:paraId="50BE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14:paraId="714D35C8">
            <w:pPr>
              <w:tabs>
                <w:tab w:val="left" w:pos="700"/>
              </w:tabs>
              <w:adjustRightInd w:val="0"/>
              <w:snapToGrid w:val="0"/>
              <w:jc w:val="center"/>
              <w:rPr>
                <w:rFonts w:ascii="Times New Roman" w:hAnsi="Times New Roman"/>
                <w:szCs w:val="21"/>
              </w:rPr>
            </w:pPr>
            <w:r>
              <w:rPr>
                <w:rFonts w:ascii="Times New Roman" w:hAnsi="Times New Roman"/>
                <w:szCs w:val="21"/>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1D842E09">
            <w:pPr>
              <w:tabs>
                <w:tab w:val="left" w:pos="700"/>
              </w:tabs>
              <w:adjustRightInd w:val="0"/>
              <w:snapToGrid w:val="0"/>
              <w:jc w:val="center"/>
              <w:rPr>
                <w:rFonts w:ascii="Times New Roman" w:hAnsi="Times New Roman"/>
                <w:szCs w:val="21"/>
              </w:rPr>
            </w:pPr>
            <w:r>
              <w:rPr>
                <w:rFonts w:ascii="Times New Roman" w:hAnsi="Times New Roman"/>
                <w:szCs w:val="21"/>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14:paraId="0817AD99">
            <w:pPr>
              <w:tabs>
                <w:tab w:val="left" w:pos="700"/>
              </w:tabs>
              <w:adjustRightInd w:val="0"/>
              <w:snapToGrid w:val="0"/>
              <w:rPr>
                <w:rFonts w:ascii="Times New Roman" w:hAnsi="Times New Roman"/>
                <w:szCs w:val="21"/>
              </w:rPr>
            </w:pPr>
            <w:r>
              <w:rPr>
                <w:rFonts w:ascii="Times New Roman" w:hAnsi="Times New Roman"/>
                <w:szCs w:val="21"/>
              </w:rPr>
              <w:t>合同约定地点或甲方指定地点</w:t>
            </w:r>
          </w:p>
        </w:tc>
      </w:tr>
      <w:tr w14:paraId="7CF0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14:paraId="31284354">
            <w:pPr>
              <w:tabs>
                <w:tab w:val="left" w:pos="700"/>
              </w:tabs>
              <w:adjustRightInd w:val="0"/>
              <w:snapToGrid w:val="0"/>
              <w:jc w:val="center"/>
              <w:rPr>
                <w:rFonts w:ascii="Times New Roman" w:hAnsi="Times New Roman"/>
                <w:szCs w:val="21"/>
              </w:rPr>
            </w:pPr>
            <w:r>
              <w:rPr>
                <w:rFonts w:ascii="Times New Roman" w:hAnsi="Times New Roman"/>
                <w:szCs w:val="21"/>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509AE27B">
            <w:pPr>
              <w:tabs>
                <w:tab w:val="left" w:pos="700"/>
              </w:tabs>
              <w:adjustRightInd w:val="0"/>
              <w:snapToGrid w:val="0"/>
              <w:jc w:val="center"/>
              <w:rPr>
                <w:rFonts w:ascii="Times New Roman" w:hAnsi="Times New Roman"/>
                <w:szCs w:val="21"/>
              </w:rPr>
            </w:pPr>
            <w:r>
              <w:rPr>
                <w:rFonts w:ascii="Times New Roman" w:hAnsi="Times New Roman"/>
                <w:szCs w:val="21"/>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14:paraId="54F6E9B8">
            <w:pPr>
              <w:tabs>
                <w:tab w:val="left" w:pos="700"/>
              </w:tabs>
              <w:adjustRightInd w:val="0"/>
              <w:snapToGrid w:val="0"/>
              <w:rPr>
                <w:rFonts w:ascii="Times New Roman" w:hAnsi="Times New Roman"/>
                <w:szCs w:val="21"/>
              </w:rPr>
            </w:pPr>
            <w:r>
              <w:rPr>
                <w:rFonts w:ascii="Times New Roman" w:hAnsi="Times New Roman"/>
                <w:szCs w:val="21"/>
              </w:rPr>
              <w:t>甲乙双方应首先通过友好协商解决在执行本合同中所发生的或与本合同有关的一切争端。如从协商开始</w:t>
            </w:r>
            <w:r>
              <w:rPr>
                <w:rFonts w:ascii="Times New Roman" w:hAnsi="Times New Roman"/>
                <w:szCs w:val="21"/>
                <w:u w:val="single"/>
              </w:rPr>
              <w:t xml:space="preserve">   </w:t>
            </w:r>
            <w:r>
              <w:rPr>
                <w:rFonts w:ascii="Times New Roman" w:hAnsi="Times New Roman"/>
                <w:szCs w:val="21"/>
              </w:rPr>
              <w:t>天内仍不能解决，可以选择以下途径之一解决纠纷：</w:t>
            </w:r>
          </w:p>
          <w:p w14:paraId="01AFF76F">
            <w:pPr>
              <w:tabs>
                <w:tab w:val="left" w:pos="700"/>
              </w:tabs>
              <w:adjustRightInd w:val="0"/>
              <w:snapToGrid w:val="0"/>
              <w:rPr>
                <w:rFonts w:ascii="Times New Roman" w:hAnsi="Times New Roman"/>
                <w:szCs w:val="21"/>
              </w:rPr>
            </w:pPr>
            <w:r>
              <w:rPr>
                <w:rFonts w:ascii="Times New Roman" w:hAnsi="Times New Roman"/>
                <w:szCs w:val="21"/>
              </w:rPr>
              <w:t>□向甲方所在地仲裁委员会或</w:t>
            </w:r>
            <w:r>
              <w:rPr>
                <w:rFonts w:ascii="Times New Roman" w:hAnsi="Times New Roman"/>
                <w:szCs w:val="21"/>
                <w:u w:val="single"/>
              </w:rPr>
              <w:t xml:space="preserve">        </w:t>
            </w:r>
            <w:r>
              <w:rPr>
                <w:rFonts w:ascii="Times New Roman" w:hAnsi="Times New Roman"/>
                <w:szCs w:val="21"/>
              </w:rPr>
              <w:t>仲裁委员会申请仲裁</w:t>
            </w:r>
          </w:p>
          <w:p w14:paraId="27708A7E">
            <w:pPr>
              <w:tabs>
                <w:tab w:val="left" w:pos="700"/>
              </w:tabs>
              <w:adjustRightInd w:val="0"/>
              <w:snapToGrid w:val="0"/>
              <w:rPr>
                <w:rFonts w:ascii="Times New Roman" w:hAnsi="Times New Roman"/>
                <w:szCs w:val="21"/>
              </w:rPr>
            </w:pPr>
            <w:r>
              <w:rPr>
                <w:rFonts w:ascii="Times New Roman" w:hAnsi="Times New Roman"/>
                <w:szCs w:val="21"/>
              </w:rPr>
              <w:t>□向甲方所在地人民法院或</w:t>
            </w:r>
            <w:r>
              <w:rPr>
                <w:rFonts w:ascii="Times New Roman" w:hAnsi="Times New Roman"/>
                <w:szCs w:val="21"/>
                <w:u w:val="single"/>
              </w:rPr>
              <w:t xml:space="preserve">        </w:t>
            </w:r>
            <w:r>
              <w:rPr>
                <w:rFonts w:ascii="Times New Roman" w:hAnsi="Times New Roman"/>
                <w:szCs w:val="21"/>
              </w:rPr>
              <w:t>人民法院提起诉讼</w:t>
            </w:r>
          </w:p>
        </w:tc>
      </w:tr>
    </w:tbl>
    <w:p w14:paraId="16F245A3">
      <w:pPr>
        <w:tabs>
          <w:tab w:val="left" w:pos="700"/>
        </w:tabs>
        <w:topLinePunct/>
        <w:autoSpaceDE w:val="0"/>
        <w:autoSpaceDN w:val="0"/>
        <w:spacing w:line="460" w:lineRule="exact"/>
        <w:rPr>
          <w:rFonts w:hint="eastAsia" w:ascii="宋体" w:hAnsi="宋体" w:cs="宋体"/>
          <w:b/>
          <w:sz w:val="24"/>
        </w:rPr>
      </w:pPr>
      <w:r>
        <w:rPr>
          <w:rFonts w:hint="eastAsia" w:ascii="宋体" w:hAnsi="宋体" w:cs="宋体"/>
          <w:b/>
          <w:sz w:val="28"/>
        </w:rPr>
        <w:br w:type="page"/>
      </w:r>
    </w:p>
    <w:p w14:paraId="58BA3C47">
      <w:pPr>
        <w:tabs>
          <w:tab w:val="left" w:pos="0"/>
        </w:tabs>
        <w:topLinePunct/>
        <w:autoSpaceDE w:val="0"/>
        <w:autoSpaceDN w:val="0"/>
        <w:spacing w:line="360" w:lineRule="auto"/>
        <w:jc w:val="center"/>
        <w:rPr>
          <w:rFonts w:hint="eastAsia" w:ascii="宋体" w:hAnsi="宋体" w:cs="宋体"/>
          <w:b/>
          <w:sz w:val="24"/>
        </w:rPr>
      </w:pPr>
      <w:r>
        <w:rPr>
          <w:rFonts w:hint="eastAsia" w:ascii="宋体" w:hAnsi="宋体" w:cs="宋体"/>
          <w:b/>
          <w:sz w:val="24"/>
        </w:rPr>
        <w:t xml:space="preserve">一   合  同 </w:t>
      </w:r>
    </w:p>
    <w:p w14:paraId="4D6FD937">
      <w:pPr>
        <w:tabs>
          <w:tab w:val="left" w:pos="540"/>
        </w:tabs>
        <w:topLinePunct/>
        <w:autoSpaceDE w:val="0"/>
        <w:autoSpaceDN w:val="0"/>
        <w:spacing w:line="460" w:lineRule="exact"/>
        <w:rPr>
          <w:rFonts w:hint="eastAsia" w:ascii="宋体" w:hAnsi="宋体" w:cs="宋体"/>
          <w:b/>
          <w:sz w:val="24"/>
        </w:rPr>
      </w:pPr>
    </w:p>
    <w:p w14:paraId="32122756">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国家税务总局XX税务局（以下简称“甲方”）通过</w:t>
      </w:r>
      <w:r>
        <w:rPr>
          <w:rFonts w:ascii="Times New Roman" w:hAnsi="Times New Roman"/>
          <w:szCs w:val="21"/>
          <w:u w:val="single"/>
        </w:rPr>
        <w:t xml:space="preserve">          </w:t>
      </w:r>
      <w:r>
        <w:rPr>
          <w:rFonts w:ascii="Times New Roman" w:hAnsi="Times New Roman"/>
          <w:szCs w:val="21"/>
        </w:rPr>
        <w:t>式采购，确定_ _____公司（以下简称“乙方”）为《</w:t>
      </w:r>
      <w:r>
        <w:rPr>
          <w:rFonts w:ascii="Times New Roman" w:hAnsi="Times New Roman"/>
          <w:szCs w:val="21"/>
          <w:u w:val="single"/>
        </w:rPr>
        <w:t xml:space="preserve">        </w:t>
      </w:r>
      <w:r>
        <w:rPr>
          <w:rFonts w:ascii="Times New Roman" w:hAnsi="Times New Roman"/>
          <w:szCs w:val="21"/>
        </w:rPr>
        <w:t>项目》中标（成交）供应商。甲乙双方同意按照该项目招标（采购）文件约定的内容，签署《</w:t>
      </w:r>
      <w:r>
        <w:rPr>
          <w:rFonts w:ascii="Times New Roman" w:hAnsi="Times New Roman"/>
          <w:szCs w:val="21"/>
          <w:u w:val="single"/>
        </w:rPr>
        <w:t xml:space="preserve">        </w:t>
      </w:r>
      <w:r>
        <w:rPr>
          <w:rFonts w:ascii="Times New Roman" w:hAnsi="Times New Roman"/>
          <w:szCs w:val="21"/>
        </w:rPr>
        <w:t>合同书》（合同编号：</w:t>
      </w:r>
      <w:r>
        <w:rPr>
          <w:rFonts w:ascii="Times New Roman" w:hAnsi="Times New Roman"/>
          <w:szCs w:val="21"/>
          <w:u w:val="single"/>
        </w:rPr>
        <w:t xml:space="preserve">      </w:t>
      </w:r>
      <w:r>
        <w:rPr>
          <w:rFonts w:ascii="Times New Roman" w:hAnsi="Times New Roman"/>
          <w:szCs w:val="21"/>
        </w:rPr>
        <w:t>，以下简称“合同”)。</w:t>
      </w:r>
    </w:p>
    <w:p w14:paraId="45F7949E">
      <w:pPr>
        <w:topLinePunct/>
        <w:autoSpaceDE w:val="0"/>
        <w:autoSpaceDN w:val="0"/>
        <w:snapToGrid w:val="0"/>
        <w:spacing w:line="360" w:lineRule="auto"/>
        <w:ind w:left="482"/>
        <w:rPr>
          <w:rFonts w:ascii="Times New Roman" w:hAnsi="Times New Roman"/>
          <w:b/>
          <w:szCs w:val="21"/>
        </w:rPr>
      </w:pPr>
      <w:r>
        <w:rPr>
          <w:rFonts w:ascii="Times New Roman" w:hAnsi="Times New Roman"/>
          <w:b/>
          <w:szCs w:val="21"/>
        </w:rPr>
        <w:t>1. 合同文件</w:t>
      </w:r>
    </w:p>
    <w:p w14:paraId="40D833CE">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本合同所附下列文件是构成本合同不可分割的部分：</w:t>
      </w:r>
    </w:p>
    <w:p w14:paraId="53E9A235">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（1）合同通用条款；</w:t>
      </w:r>
    </w:p>
    <w:p w14:paraId="4A1CFB11">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（2）报价表（总报价表和分项报价表）；</w:t>
      </w:r>
    </w:p>
    <w:p w14:paraId="15550D94">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（3）招标（采购）文件；</w:t>
      </w:r>
    </w:p>
    <w:p w14:paraId="6D2C139A">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（4）投标（响应）文件。</w:t>
      </w:r>
    </w:p>
    <w:p w14:paraId="303FF56F">
      <w:pPr>
        <w:topLinePunct/>
        <w:autoSpaceDE w:val="0"/>
        <w:autoSpaceDN w:val="0"/>
        <w:snapToGrid w:val="0"/>
        <w:spacing w:line="360" w:lineRule="auto"/>
        <w:ind w:left="482"/>
        <w:rPr>
          <w:rFonts w:ascii="Times New Roman" w:hAnsi="Times New Roman"/>
          <w:b/>
          <w:szCs w:val="21"/>
        </w:rPr>
      </w:pPr>
      <w:r>
        <w:rPr>
          <w:rFonts w:ascii="Times New Roman" w:hAnsi="Times New Roman"/>
          <w:b/>
          <w:szCs w:val="21"/>
        </w:rPr>
        <w:t>2. 合同范围和条件</w:t>
      </w:r>
    </w:p>
    <w:p w14:paraId="57270AC1">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本合同的范围和条件应与上述合同文件的规定相一致。</w:t>
      </w:r>
    </w:p>
    <w:p w14:paraId="151B9DD3">
      <w:pPr>
        <w:tabs>
          <w:tab w:val="left" w:pos="700"/>
        </w:tabs>
        <w:topLinePunct/>
        <w:autoSpaceDE w:val="0"/>
        <w:autoSpaceDN w:val="0"/>
        <w:snapToGrid w:val="0"/>
        <w:spacing w:line="360" w:lineRule="auto"/>
        <w:ind w:firstLine="413" w:firstLineChars="196"/>
        <w:rPr>
          <w:rFonts w:ascii="Times New Roman" w:hAnsi="Times New Roman"/>
          <w:b/>
          <w:szCs w:val="21"/>
        </w:rPr>
      </w:pPr>
      <w:r>
        <w:rPr>
          <w:rFonts w:ascii="Times New Roman" w:hAnsi="Times New Roman"/>
          <w:b/>
          <w:szCs w:val="21"/>
        </w:rPr>
        <w:t>3. 合同金额</w:t>
      </w:r>
    </w:p>
    <w:p w14:paraId="4C995DA3">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本合同总金额为人民币</w:t>
      </w:r>
      <w:r>
        <w:rPr>
          <w:rFonts w:ascii="Times New Roman" w:hAnsi="Times New Roman"/>
          <w:szCs w:val="21"/>
          <w:u w:val="single"/>
        </w:rPr>
        <w:t xml:space="preserve">        </w:t>
      </w:r>
      <w:r>
        <w:rPr>
          <w:rFonts w:ascii="Times New Roman" w:hAnsi="Times New Roman"/>
          <w:szCs w:val="21"/>
        </w:rPr>
        <w:t>元整（¥</w:t>
      </w:r>
      <w:r>
        <w:rPr>
          <w:rFonts w:ascii="Times New Roman" w:hAnsi="Times New Roman"/>
          <w:szCs w:val="21"/>
          <w:u w:val="single"/>
        </w:rPr>
        <w:t xml:space="preserve">          </w:t>
      </w:r>
      <w:r>
        <w:rPr>
          <w:rFonts w:ascii="Times New Roman" w:hAnsi="Times New Roman"/>
          <w:szCs w:val="21"/>
        </w:rPr>
        <w:t>）。本项目以</w:t>
      </w:r>
      <w:r>
        <w:rPr>
          <w:rFonts w:ascii="Times New Roman" w:hAnsi="Times New Roman"/>
          <w:szCs w:val="21"/>
          <w:u w:val="single"/>
        </w:rPr>
        <w:t xml:space="preserve">   </w:t>
      </w:r>
      <w:r>
        <w:rPr>
          <w:rFonts w:ascii="Times New Roman" w:hAnsi="Times New Roman"/>
          <w:szCs w:val="21"/>
        </w:rPr>
        <w:t>个月为1个服务周期，每个服务周期合同金额为人民币</w:t>
      </w:r>
      <w:r>
        <w:rPr>
          <w:rFonts w:ascii="Times New Roman" w:hAnsi="Times New Roman"/>
          <w:szCs w:val="21"/>
          <w:u w:val="single"/>
        </w:rPr>
        <w:t xml:space="preserve">        </w:t>
      </w:r>
      <w:r>
        <w:rPr>
          <w:rFonts w:ascii="Times New Roman" w:hAnsi="Times New Roman"/>
          <w:szCs w:val="21"/>
        </w:rPr>
        <w:t>元整（¥</w:t>
      </w:r>
      <w:r>
        <w:rPr>
          <w:rFonts w:ascii="Times New Roman" w:hAnsi="Times New Roman"/>
          <w:szCs w:val="21"/>
          <w:u w:val="single"/>
        </w:rPr>
        <w:t xml:space="preserve">          </w:t>
      </w:r>
      <w:r>
        <w:rPr>
          <w:rFonts w:ascii="Times New Roman" w:hAnsi="Times New Roman"/>
          <w:szCs w:val="21"/>
        </w:rPr>
        <w:t>）。</w:t>
      </w:r>
    </w:p>
    <w:p w14:paraId="0F181150">
      <w:pPr>
        <w:tabs>
          <w:tab w:val="left" w:pos="700"/>
        </w:tabs>
        <w:topLinePunct/>
        <w:autoSpaceDE w:val="0"/>
        <w:autoSpaceDN w:val="0"/>
        <w:snapToGrid w:val="0"/>
        <w:spacing w:line="360" w:lineRule="auto"/>
        <w:ind w:firstLine="422" w:firstLineChars="200"/>
        <w:rPr>
          <w:rFonts w:ascii="Times New Roman" w:hAnsi="Times New Roman"/>
          <w:b/>
          <w:szCs w:val="21"/>
        </w:rPr>
      </w:pPr>
      <w:r>
        <w:rPr>
          <w:rFonts w:ascii="Times New Roman" w:hAnsi="Times New Roman"/>
          <w:b/>
          <w:szCs w:val="21"/>
          <w:lang w:val="en"/>
        </w:rPr>
        <w:t>4.</w:t>
      </w:r>
      <w:r>
        <w:rPr>
          <w:rFonts w:ascii="Times New Roman" w:hAnsi="Times New Roman"/>
          <w:b/>
          <w:szCs w:val="21"/>
        </w:rPr>
        <w:t>付款条件</w:t>
      </w:r>
    </w:p>
    <w:p w14:paraId="0564A74F">
      <w:pPr>
        <w:tabs>
          <w:tab w:val="left" w:pos="700"/>
        </w:tabs>
        <w:topLinePunct/>
        <w:autoSpaceDE w:val="0"/>
        <w:autoSpaceDN w:val="0"/>
        <w:snapToGrid w:val="0"/>
        <w:spacing w:line="360" w:lineRule="auto"/>
        <w:ind w:firstLine="420" w:firstLineChars="200"/>
        <w:rPr>
          <w:rFonts w:ascii="Times New Roman" w:hAnsi="Times New Roman"/>
          <w:szCs w:val="21"/>
        </w:rPr>
      </w:pPr>
      <w:r>
        <w:rPr>
          <w:rFonts w:ascii="Times New Roman" w:hAnsi="Times New Roman"/>
          <w:szCs w:val="21"/>
        </w:rPr>
        <w:t>本项目每</w:t>
      </w:r>
      <w:r>
        <w:rPr>
          <w:rFonts w:ascii="Times New Roman" w:hAnsi="Times New Roman"/>
          <w:szCs w:val="21"/>
          <w:u w:val="single"/>
        </w:rPr>
        <w:t xml:space="preserve">   </w:t>
      </w:r>
      <w:r>
        <w:rPr>
          <w:rFonts w:ascii="Times New Roman" w:hAnsi="Times New Roman"/>
          <w:szCs w:val="21"/>
        </w:rPr>
        <w:t>个月为 1 个服务周期，共</w:t>
      </w:r>
      <w:r>
        <w:rPr>
          <w:rFonts w:ascii="Times New Roman" w:hAnsi="Times New Roman"/>
          <w:szCs w:val="21"/>
          <w:u w:val="single"/>
        </w:rPr>
        <w:t xml:space="preserve">   </w:t>
      </w:r>
      <w:r>
        <w:rPr>
          <w:rFonts w:ascii="Times New Roman" w:hAnsi="Times New Roman"/>
          <w:szCs w:val="21"/>
        </w:rPr>
        <w:t>个服务周期。每个服务周期，甲方按照采购文件和合同约定对乙方提供的服务进行考核或验收后支付相应款项。</w:t>
      </w:r>
    </w:p>
    <w:p w14:paraId="00F004A7">
      <w:pPr>
        <w:pStyle w:val="71"/>
        <w:tabs>
          <w:tab w:val="left" w:pos="840"/>
        </w:tabs>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合同以人民币结算，付款方式：</w:t>
      </w:r>
    </w:p>
    <w:p w14:paraId="64465C10">
      <w:pPr>
        <w:pStyle w:val="71"/>
        <w:tabs>
          <w:tab w:val="left" w:pos="840"/>
        </w:tabs>
        <w:adjustRightInd w:val="0"/>
        <w:snapToGrid w:val="0"/>
        <w:spacing w:line="360" w:lineRule="auto"/>
        <w:ind w:left="19" w:leftChars="9" w:firstLine="401" w:firstLineChars="191"/>
        <w:jc w:val="left"/>
        <w:textAlignment w:val="baseline"/>
        <w:rPr>
          <w:rFonts w:hint="eastAsia" w:ascii="宋体" w:hAnsi="宋体" w:eastAsia="宋体" w:cs="宋体"/>
          <w:sz w:val="21"/>
          <w:szCs w:val="21"/>
        </w:rPr>
      </w:pPr>
      <w:r>
        <w:rPr>
          <w:rFonts w:hint="eastAsia" w:ascii="宋体" w:hAnsi="宋体" w:eastAsia="宋体" w:cs="宋体"/>
          <w:sz w:val="21"/>
          <w:szCs w:val="21"/>
        </w:rPr>
        <w:t>第一次付款：在</w:t>
      </w:r>
      <w:r>
        <w:rPr>
          <w:rFonts w:hint="eastAsia" w:ascii="宋体" w:hAnsi="宋体" w:eastAsia="宋体" w:cs="宋体"/>
          <w:sz w:val="21"/>
          <w:szCs w:val="21"/>
          <w:u w:val="single"/>
        </w:rPr>
        <w:t xml:space="preserve">                   </w:t>
      </w:r>
      <w:r>
        <w:rPr>
          <w:rFonts w:hint="eastAsia" w:ascii="宋体" w:hAnsi="宋体" w:eastAsia="宋体" w:cs="宋体"/>
          <w:sz w:val="21"/>
          <w:szCs w:val="21"/>
        </w:rPr>
        <w:t>后，甲方支付乙方合同金额</w:t>
      </w:r>
      <w:r>
        <w:rPr>
          <w:rFonts w:hint="eastAsia" w:ascii="宋体" w:hAnsi="宋体" w:eastAsia="宋体" w:cs="宋体"/>
          <w:sz w:val="21"/>
          <w:szCs w:val="21"/>
          <w:u w:val="single"/>
        </w:rPr>
        <w:t xml:space="preserve">   </w:t>
      </w:r>
      <w:r>
        <w:rPr>
          <w:rFonts w:hint="eastAsia" w:ascii="宋体" w:hAnsi="宋体" w:eastAsia="宋体" w:cs="宋体"/>
          <w:sz w:val="21"/>
          <w:szCs w:val="21"/>
        </w:rPr>
        <w:t>%的款项，即人民币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AED215">
      <w:pPr>
        <w:pStyle w:val="71"/>
        <w:tabs>
          <w:tab w:val="left" w:pos="840"/>
        </w:tabs>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第二次付款：在</w:t>
      </w:r>
      <w:r>
        <w:rPr>
          <w:rFonts w:hint="eastAsia" w:ascii="宋体" w:hAnsi="宋体" w:eastAsia="宋体" w:cs="宋体"/>
          <w:sz w:val="21"/>
          <w:szCs w:val="21"/>
          <w:u w:val="single"/>
        </w:rPr>
        <w:t xml:space="preserve">                   </w:t>
      </w:r>
      <w:r>
        <w:rPr>
          <w:rFonts w:hint="eastAsia" w:ascii="宋体" w:hAnsi="宋体" w:eastAsia="宋体" w:cs="宋体"/>
          <w:sz w:val="21"/>
          <w:szCs w:val="21"/>
        </w:rPr>
        <w:t>后，甲方支付乙方合同金额</w:t>
      </w:r>
      <w:r>
        <w:rPr>
          <w:rFonts w:hint="eastAsia" w:ascii="宋体" w:hAnsi="宋体" w:eastAsia="宋体" w:cs="宋体"/>
          <w:sz w:val="21"/>
          <w:szCs w:val="21"/>
          <w:u w:val="single"/>
        </w:rPr>
        <w:t xml:space="preserve">   </w:t>
      </w:r>
      <w:r>
        <w:rPr>
          <w:rFonts w:hint="eastAsia" w:ascii="宋体" w:hAnsi="宋体" w:eastAsia="宋体" w:cs="宋体"/>
          <w:sz w:val="21"/>
          <w:szCs w:val="21"/>
        </w:rPr>
        <w:t>%的款项，即人民币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100575C">
      <w:pPr>
        <w:pStyle w:val="71"/>
        <w:tabs>
          <w:tab w:val="left" w:pos="840"/>
        </w:tabs>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w:t>
      </w:r>
    </w:p>
    <w:p w14:paraId="4FE8846C">
      <w:pPr>
        <w:pStyle w:val="71"/>
        <w:tabs>
          <w:tab w:val="left" w:pos="840"/>
        </w:tabs>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每次办理付款时，乙方应提供发票、付款申请（格式另附）、合同或合同关键页复印件、合同约定的其他资料。涉及验收的，应同时提交甲方需求部门出具的验收意见。</w:t>
      </w:r>
    </w:p>
    <w:p w14:paraId="622F4DD9">
      <w:pPr>
        <w:pStyle w:val="71"/>
        <w:tabs>
          <w:tab w:val="left" w:pos="840"/>
        </w:tabs>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甲方在收到发票等合同约定资料后，进行核实。满足合同约定支付条件的，自收到发票后</w:t>
      </w:r>
      <w:r>
        <w:rPr>
          <w:rFonts w:hint="eastAsia" w:ascii="宋体" w:hAnsi="宋体" w:eastAsia="宋体" w:cs="宋体"/>
          <w:sz w:val="21"/>
          <w:szCs w:val="21"/>
          <w:u w:val="single"/>
        </w:rPr>
        <w:t xml:space="preserve">   </w:t>
      </w:r>
      <w:r>
        <w:rPr>
          <w:rFonts w:hint="eastAsia" w:ascii="宋体" w:hAnsi="宋体" w:eastAsia="宋体" w:cs="宋体"/>
          <w:sz w:val="21"/>
          <w:szCs w:val="21"/>
        </w:rPr>
        <w:t>日内将资金支付到乙方账户，特殊情形付款期限最长不超过</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F912CC3">
      <w:pPr>
        <w:topLinePunct/>
        <w:autoSpaceDE w:val="0"/>
        <w:autoSpaceDN w:val="0"/>
        <w:snapToGrid w:val="0"/>
        <w:spacing w:line="360" w:lineRule="auto"/>
        <w:ind w:left="482"/>
        <w:rPr>
          <w:rFonts w:ascii="Times New Roman" w:hAnsi="Times New Roman"/>
          <w:b/>
          <w:szCs w:val="21"/>
        </w:rPr>
      </w:pPr>
      <w:r>
        <w:rPr>
          <w:rFonts w:ascii="Times New Roman" w:hAnsi="Times New Roman"/>
          <w:b/>
          <w:szCs w:val="21"/>
        </w:rPr>
        <w:t>5. 合同签订及生效</w:t>
      </w:r>
    </w:p>
    <w:p w14:paraId="2019E6D9">
      <w:pPr>
        <w:pStyle w:val="71"/>
        <w:tabs>
          <w:tab w:val="left" w:pos="840"/>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lang w:val="en"/>
        </w:rPr>
        <w:t xml:space="preserve">   </w:t>
      </w:r>
      <w:r>
        <w:rPr>
          <w:rFonts w:hint="eastAsia" w:ascii="宋体" w:hAnsi="宋体" w:eastAsia="宋体" w:cs="宋体"/>
          <w:sz w:val="21"/>
          <w:szCs w:val="21"/>
        </w:rPr>
        <w:t>份，由甲乙双方法定代表人或被授权人签字并盖章后生效。</w:t>
      </w:r>
    </w:p>
    <w:p w14:paraId="3692419E">
      <w:pPr>
        <w:pStyle w:val="71"/>
        <w:tabs>
          <w:tab w:val="left" w:pos="840"/>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乙方由法定代表人签订合同的，应提供法定代表人身份证复印件；乙方由被授权人签订合同的，应提供授权委托书和法定代表人及被授权人身份证复印件。</w:t>
      </w:r>
    </w:p>
    <w:p w14:paraId="41727FF5">
      <w:pPr>
        <w:pStyle w:val="71"/>
        <w:tabs>
          <w:tab w:val="left" w:pos="840"/>
        </w:tabs>
        <w:snapToGrid w:val="0"/>
        <w:spacing w:line="360" w:lineRule="auto"/>
        <w:ind w:firstLine="420" w:firstLineChars="200"/>
        <w:rPr>
          <w:rFonts w:ascii="Times New Roman" w:hAnsi="Times New Roman"/>
          <w:sz w:val="21"/>
          <w:szCs w:val="21"/>
        </w:rPr>
      </w:pPr>
    </w:p>
    <w:p w14:paraId="0B03652E">
      <w:pPr>
        <w:tabs>
          <w:tab w:val="left" w:pos="700"/>
        </w:tabs>
        <w:topLinePunct/>
        <w:autoSpaceDE w:val="0"/>
        <w:autoSpaceDN w:val="0"/>
        <w:spacing w:line="360" w:lineRule="auto"/>
        <w:rPr>
          <w:rFonts w:ascii="Times New Roman" w:hAnsi="Times New Roman"/>
          <w:szCs w:val="21"/>
        </w:rPr>
      </w:pPr>
    </w:p>
    <w:p w14:paraId="234E5B2D">
      <w:pPr>
        <w:tabs>
          <w:tab w:val="left" w:pos="700"/>
        </w:tabs>
        <w:topLinePunct/>
        <w:autoSpaceDE w:val="0"/>
        <w:autoSpaceDN w:val="0"/>
        <w:spacing w:line="360" w:lineRule="auto"/>
        <w:ind w:left="360"/>
        <w:rPr>
          <w:rFonts w:ascii="Times New Roman" w:hAnsi="Times New Roman"/>
          <w:szCs w:val="21"/>
        </w:rPr>
      </w:pPr>
      <w:r>
        <w:rPr>
          <w:rFonts w:ascii="Times New Roman" w:hAnsi="Times New Roman"/>
          <w:szCs w:val="21"/>
        </w:rPr>
        <w:t>甲方：国家税务总局XX税务局             乙方：</w:t>
      </w:r>
    </w:p>
    <w:p w14:paraId="363049BD">
      <w:pPr>
        <w:tabs>
          <w:tab w:val="left" w:pos="700"/>
        </w:tabs>
        <w:topLinePunct/>
        <w:autoSpaceDE w:val="0"/>
        <w:autoSpaceDN w:val="0"/>
        <w:spacing w:line="360" w:lineRule="auto"/>
        <w:ind w:left="360"/>
        <w:rPr>
          <w:rFonts w:ascii="Times New Roman" w:hAnsi="Times New Roman"/>
          <w:szCs w:val="21"/>
        </w:rPr>
      </w:pPr>
      <w:r>
        <w:rPr>
          <w:rFonts w:ascii="Times New Roman" w:hAnsi="Times New Roman"/>
          <w:szCs w:val="21"/>
        </w:rPr>
        <w:t>签字：                                 签字：</w:t>
      </w:r>
    </w:p>
    <w:p w14:paraId="6F5AA44D">
      <w:pPr>
        <w:tabs>
          <w:tab w:val="left" w:pos="700"/>
        </w:tabs>
        <w:topLinePunct/>
        <w:autoSpaceDE w:val="0"/>
        <w:autoSpaceDN w:val="0"/>
        <w:spacing w:line="360" w:lineRule="auto"/>
        <w:ind w:left="360"/>
        <w:rPr>
          <w:rFonts w:ascii="Times New Roman" w:hAnsi="Times New Roman"/>
          <w:szCs w:val="21"/>
        </w:rPr>
      </w:pPr>
      <w:r>
        <w:rPr>
          <w:rFonts w:ascii="Times New Roman" w:hAnsi="Times New Roman"/>
          <w:szCs w:val="21"/>
        </w:rPr>
        <w:t xml:space="preserve">盖章：                                 盖章： </w:t>
      </w:r>
    </w:p>
    <w:p w14:paraId="49514CEE">
      <w:pPr>
        <w:tabs>
          <w:tab w:val="left" w:pos="700"/>
        </w:tabs>
        <w:topLinePunct/>
        <w:autoSpaceDE w:val="0"/>
        <w:autoSpaceDN w:val="0"/>
        <w:spacing w:line="360" w:lineRule="auto"/>
        <w:ind w:left="360"/>
        <w:rPr>
          <w:rFonts w:ascii="Times New Roman" w:hAnsi="Times New Roman"/>
          <w:szCs w:val="21"/>
        </w:rPr>
      </w:pPr>
      <w:r>
        <w:rPr>
          <w:rFonts w:ascii="Times New Roman" w:hAnsi="Times New Roman"/>
          <w:szCs w:val="21"/>
        </w:rPr>
        <w:t>日期：    年    月    日               日期：     年   月   日</w:t>
      </w:r>
    </w:p>
    <w:p w14:paraId="070BE83F">
      <w:pPr>
        <w:topLinePunct/>
        <w:autoSpaceDE w:val="0"/>
        <w:autoSpaceDN w:val="0"/>
        <w:spacing w:line="360" w:lineRule="auto"/>
        <w:rPr>
          <w:rFonts w:ascii="Times New Roman" w:hAnsi="Times New Roman"/>
          <w:b/>
          <w:szCs w:val="21"/>
        </w:rPr>
      </w:pPr>
    </w:p>
    <w:p w14:paraId="3B79CC8C">
      <w:pPr>
        <w:topLinePunct/>
        <w:autoSpaceDE w:val="0"/>
        <w:autoSpaceDN w:val="0"/>
        <w:spacing w:line="460" w:lineRule="exact"/>
        <w:jc w:val="center"/>
        <w:rPr>
          <w:rFonts w:hint="eastAsia" w:ascii="宋体" w:hAnsi="宋体" w:cs="宋体"/>
          <w:b/>
          <w:sz w:val="24"/>
        </w:rPr>
      </w:pPr>
    </w:p>
    <w:p w14:paraId="4CAF992B">
      <w:pPr>
        <w:topLinePunct/>
        <w:autoSpaceDE w:val="0"/>
        <w:autoSpaceDN w:val="0"/>
        <w:spacing w:line="460" w:lineRule="exact"/>
        <w:jc w:val="center"/>
        <w:rPr>
          <w:rFonts w:hint="eastAsia" w:ascii="宋体" w:hAnsi="宋体" w:cs="宋体"/>
          <w:b/>
          <w:sz w:val="24"/>
        </w:rPr>
      </w:pPr>
    </w:p>
    <w:p w14:paraId="23D06525">
      <w:pPr>
        <w:topLinePunct/>
        <w:autoSpaceDE w:val="0"/>
        <w:autoSpaceDN w:val="0"/>
        <w:spacing w:line="360" w:lineRule="auto"/>
        <w:jc w:val="center"/>
        <w:rPr>
          <w:rFonts w:hint="eastAsia" w:ascii="宋体" w:hAnsi="宋体" w:cs="宋体"/>
          <w:b/>
          <w:sz w:val="24"/>
        </w:rPr>
      </w:pPr>
      <w:r>
        <w:rPr>
          <w:rFonts w:ascii="宋体" w:hAnsi="宋体" w:cs="宋体"/>
          <w:b/>
          <w:sz w:val="24"/>
        </w:rPr>
        <w:br w:type="page"/>
      </w:r>
      <w:r>
        <w:rPr>
          <w:rFonts w:hint="eastAsia" w:ascii="宋体" w:hAnsi="宋体" w:cs="宋体"/>
          <w:b/>
          <w:sz w:val="24"/>
        </w:rPr>
        <w:t>二   合 同 通 用 条 款</w:t>
      </w:r>
    </w:p>
    <w:p w14:paraId="79306B8E">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 定义</w:t>
      </w:r>
    </w:p>
    <w:p w14:paraId="0C77ABB0">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本合同下列术语应解释为：</w:t>
      </w:r>
    </w:p>
    <w:p w14:paraId="24A376F6">
      <w:pPr>
        <w:tabs>
          <w:tab w:val="left" w:pos="700"/>
        </w:tabs>
        <w:spacing w:line="360" w:lineRule="auto"/>
        <w:ind w:firstLine="420" w:firstLineChars="200"/>
        <w:rPr>
          <w:rFonts w:ascii="Times New Roman" w:hAnsi="Times New Roman"/>
          <w:szCs w:val="21"/>
        </w:rPr>
      </w:pPr>
      <w:r>
        <w:rPr>
          <w:rFonts w:ascii="Times New Roman" w:hAnsi="Times New Roman"/>
          <w:szCs w:val="21"/>
        </w:rPr>
        <w:t>1.1“甲方”是指国家税务总局</w:t>
      </w:r>
      <w:r>
        <w:rPr>
          <w:rFonts w:ascii="Times New Roman" w:hAnsi="Times New Roman"/>
          <w:szCs w:val="21"/>
          <w:lang w:val="en"/>
        </w:rPr>
        <w:t>XX税务局</w:t>
      </w:r>
      <w:r>
        <w:rPr>
          <w:rFonts w:ascii="Times New Roman" w:hAnsi="Times New Roman"/>
          <w:szCs w:val="21"/>
        </w:rPr>
        <w:t>。</w:t>
      </w:r>
    </w:p>
    <w:p w14:paraId="27DFC243">
      <w:pPr>
        <w:tabs>
          <w:tab w:val="left" w:pos="700"/>
        </w:tabs>
        <w:spacing w:line="360" w:lineRule="auto"/>
        <w:ind w:firstLine="420" w:firstLineChars="200"/>
        <w:rPr>
          <w:rFonts w:ascii="Times New Roman" w:hAnsi="Times New Roman"/>
          <w:szCs w:val="21"/>
        </w:rPr>
      </w:pPr>
      <w:r>
        <w:rPr>
          <w:rFonts w:ascii="Times New Roman" w:hAnsi="Times New Roman"/>
          <w:szCs w:val="21"/>
        </w:rPr>
        <w:t>1.1.1“甲方采购部门”见“合同条款前附表”第5项“甲方采购部门”。</w:t>
      </w:r>
    </w:p>
    <w:p w14:paraId="7CE99FBB">
      <w:pPr>
        <w:tabs>
          <w:tab w:val="left" w:pos="700"/>
        </w:tabs>
        <w:spacing w:line="360" w:lineRule="auto"/>
        <w:ind w:firstLine="420" w:firstLineChars="200"/>
        <w:rPr>
          <w:rFonts w:ascii="Times New Roman" w:hAnsi="Times New Roman"/>
          <w:szCs w:val="21"/>
        </w:rPr>
      </w:pPr>
      <w:r>
        <w:rPr>
          <w:rFonts w:ascii="Times New Roman" w:hAnsi="Times New Roman"/>
          <w:szCs w:val="21"/>
        </w:rPr>
        <w:t>1.1.2“甲方需求部门”见“合同条款前附表”第5项“甲方需求部门”。</w:t>
      </w:r>
    </w:p>
    <w:p w14:paraId="25037E07">
      <w:pPr>
        <w:tabs>
          <w:tab w:val="left" w:pos="700"/>
        </w:tabs>
        <w:spacing w:line="360" w:lineRule="auto"/>
        <w:ind w:firstLine="420" w:firstLineChars="200"/>
        <w:rPr>
          <w:rFonts w:ascii="Times New Roman" w:hAnsi="Times New Roman"/>
          <w:szCs w:val="21"/>
        </w:rPr>
      </w:pPr>
      <w:r>
        <w:rPr>
          <w:rFonts w:ascii="Times New Roman" w:hAnsi="Times New Roman"/>
          <w:szCs w:val="21"/>
        </w:rPr>
        <w:t>1.2“乙方”见“合同条款前附表”第6项“乙方名称”。</w:t>
      </w:r>
    </w:p>
    <w:p w14:paraId="4A36E229">
      <w:pPr>
        <w:tabs>
          <w:tab w:val="left" w:pos="700"/>
        </w:tabs>
        <w:spacing w:line="360" w:lineRule="auto"/>
        <w:ind w:firstLine="420" w:firstLineChars="200"/>
        <w:rPr>
          <w:rFonts w:ascii="Times New Roman" w:hAnsi="Times New Roman"/>
          <w:szCs w:val="21"/>
        </w:rPr>
      </w:pPr>
      <w:r>
        <w:rPr>
          <w:rFonts w:ascii="Times New Roman" w:hAnsi="Times New Roman"/>
          <w:szCs w:val="21"/>
        </w:rPr>
        <w:t>1.3 “合同”系指甲乙双方签订的、合同格式中载明的甲乙双方所达成的协议，包括所有的附件、附录和上述文件所提到的构成合同的所有文件。</w:t>
      </w:r>
    </w:p>
    <w:p w14:paraId="272EF4A2">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1.4 “天”除非特别指出，“天”均为自然天。</w:t>
      </w:r>
    </w:p>
    <w:p w14:paraId="53F0140C">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2. 标准</w:t>
      </w:r>
    </w:p>
    <w:p w14:paraId="31692127">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2.1 乙方为甲方交付或提供的服务应符合招标（采购）文件所述的标准，如果没有提及适用标准，则应符合相应的国家标准。这些标准必须是有关机构发布的最新版本的标准。</w:t>
      </w:r>
    </w:p>
    <w:p w14:paraId="24028C3B">
      <w:pPr>
        <w:spacing w:line="360" w:lineRule="auto"/>
        <w:ind w:firstLine="420" w:firstLineChars="200"/>
        <w:rPr>
          <w:rFonts w:ascii="Times New Roman" w:hAnsi="Times New Roman"/>
          <w:szCs w:val="21"/>
        </w:rPr>
      </w:pPr>
      <w:r>
        <w:rPr>
          <w:rFonts w:ascii="Times New Roman" w:hAnsi="Times New Roman"/>
          <w:szCs w:val="21"/>
        </w:rPr>
        <w:t>2.2 除非技术要求中另有规定，计量单位均采用中华人民共和国法定计量单位。</w:t>
      </w:r>
    </w:p>
    <w:p w14:paraId="6E18FD1E">
      <w:pPr>
        <w:spacing w:line="360" w:lineRule="auto"/>
        <w:ind w:firstLine="422" w:firstLineChars="200"/>
        <w:rPr>
          <w:rFonts w:ascii="Times New Roman" w:hAnsi="Times New Roman"/>
          <w:b/>
          <w:szCs w:val="21"/>
        </w:rPr>
      </w:pPr>
      <w:r>
        <w:rPr>
          <w:rFonts w:ascii="Times New Roman" w:hAnsi="Times New Roman"/>
          <w:b/>
          <w:szCs w:val="21"/>
        </w:rPr>
        <w:t>3. 服务</w:t>
      </w:r>
    </w:p>
    <w:p w14:paraId="304EBFFA">
      <w:pPr>
        <w:tabs>
          <w:tab w:val="left" w:pos="700"/>
        </w:tabs>
        <w:spacing w:line="360" w:lineRule="auto"/>
        <w:ind w:firstLine="420" w:firstLineChars="200"/>
        <w:rPr>
          <w:rFonts w:ascii="Times New Roman" w:hAnsi="Times New Roman"/>
          <w:b/>
          <w:szCs w:val="21"/>
        </w:rPr>
      </w:pPr>
      <w:r>
        <w:rPr>
          <w:rFonts w:ascii="Times New Roman" w:hAnsi="Times New Roman"/>
          <w:bCs/>
          <w:szCs w:val="21"/>
        </w:rPr>
        <w:t>3.1 本项目的“服务”见“合同条款前附表”第8项“服务内容”。</w:t>
      </w:r>
    </w:p>
    <w:p w14:paraId="3B779628">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3.2 乙方应保证所提供的服务符合合同规定的要求。如不符时，乙方应负全责并尽快处理解决，由此造成的损失和相关费用由乙方负责，甲方保留终止合同及索赔的权利。</w:t>
      </w:r>
    </w:p>
    <w:p w14:paraId="37CC2D88">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3.3 乙方应保证通过执行合同中全部方案后，可以取得本合同约定的结果，达到本合同约定的预期目标。对任何情况下出现的问题，应尽快提出解决方案。</w:t>
      </w:r>
    </w:p>
    <w:p w14:paraId="01D07F51">
      <w:pPr>
        <w:tabs>
          <w:tab w:val="left" w:pos="0"/>
          <w:tab w:val="left" w:pos="540"/>
        </w:tabs>
        <w:spacing w:line="360" w:lineRule="auto"/>
        <w:ind w:firstLine="420" w:firstLineChars="200"/>
        <w:rPr>
          <w:rFonts w:ascii="Times New Roman" w:hAnsi="Times New Roman"/>
          <w:szCs w:val="21"/>
        </w:rPr>
      </w:pPr>
      <w:r>
        <w:rPr>
          <w:rFonts w:ascii="Times New Roman" w:hAnsi="Times New Roman"/>
          <w:szCs w:val="21"/>
        </w:rPr>
        <w:t>3.4 如果乙方提供的服务和解决方案不符合甲方要求，或在规定的时间内没有弥补缺陷，甲方有权采取一切必要的补救措施，由此产生的费用全部由乙方负责。</w:t>
      </w:r>
    </w:p>
    <w:p w14:paraId="00D4F025">
      <w:pPr>
        <w:spacing w:line="360" w:lineRule="auto"/>
        <w:ind w:firstLine="420" w:firstLineChars="200"/>
        <w:rPr>
          <w:rFonts w:ascii="Times New Roman" w:hAnsi="Times New Roman"/>
          <w:szCs w:val="21"/>
        </w:rPr>
      </w:pPr>
      <w:r>
        <w:rPr>
          <w:rFonts w:ascii="Times New Roman" w:hAnsi="Times New Roman"/>
          <w:szCs w:val="21"/>
        </w:rPr>
        <w:t>3.5 除合同条款另行规定外，伴随服务的费用应含在合同价中，不单独进行支付。</w:t>
      </w:r>
    </w:p>
    <w:p w14:paraId="1F2FCBD3">
      <w:pPr>
        <w:tabs>
          <w:tab w:val="left" w:pos="0"/>
          <w:tab w:val="left" w:pos="540"/>
        </w:tabs>
        <w:spacing w:line="360" w:lineRule="auto"/>
        <w:ind w:firstLine="422" w:firstLineChars="200"/>
        <w:rPr>
          <w:rFonts w:ascii="Times New Roman" w:hAnsi="Times New Roman"/>
          <w:b/>
          <w:szCs w:val="21"/>
        </w:rPr>
      </w:pPr>
      <w:r>
        <w:rPr>
          <w:rFonts w:ascii="Times New Roman" w:hAnsi="Times New Roman"/>
          <w:b/>
          <w:szCs w:val="21"/>
        </w:rPr>
        <w:t>4. 知识产权</w:t>
      </w:r>
    </w:p>
    <w:p w14:paraId="6AE44338">
      <w:pPr>
        <w:spacing w:line="360" w:lineRule="auto"/>
        <w:ind w:firstLine="420" w:firstLineChars="200"/>
        <w:rPr>
          <w:rFonts w:ascii="Times New Roman" w:hAnsi="Times New Roman"/>
          <w:szCs w:val="21"/>
        </w:rPr>
      </w:pPr>
      <w:r>
        <w:rPr>
          <w:rFonts w:ascii="Times New Roman" w:hAnsi="Times New Roman"/>
          <w:szCs w:val="21"/>
        </w:rPr>
        <w:t>4.1 乙方应保证所提供的服务免受第三方提出侵犯其知识产权（专利权、商标权、软件著作权、版权等）的起诉。</w:t>
      </w:r>
    </w:p>
    <w:p w14:paraId="2A568695">
      <w:pPr>
        <w:tabs>
          <w:tab w:val="left" w:pos="0"/>
          <w:tab w:val="left" w:pos="540"/>
        </w:tabs>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14:paraId="78517B14">
      <w:pPr>
        <w:tabs>
          <w:tab w:val="left" w:pos="0"/>
          <w:tab w:val="left" w:pos="540"/>
        </w:tabs>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14:paraId="2F61520D">
      <w:pPr>
        <w:spacing w:line="360" w:lineRule="auto"/>
        <w:ind w:firstLine="422" w:firstLineChars="200"/>
        <w:rPr>
          <w:rFonts w:ascii="Times New Roman" w:hAnsi="Times New Roman"/>
          <w:b/>
          <w:szCs w:val="21"/>
        </w:rPr>
      </w:pPr>
      <w:r>
        <w:rPr>
          <w:rFonts w:ascii="Times New Roman" w:hAnsi="Times New Roman"/>
          <w:b/>
          <w:szCs w:val="21"/>
        </w:rPr>
        <w:t>5. 保密条款</w:t>
      </w:r>
    </w:p>
    <w:p w14:paraId="55B93EAA">
      <w:pPr>
        <w:spacing w:line="360" w:lineRule="auto"/>
        <w:ind w:firstLine="420" w:firstLineChars="200"/>
        <w:rPr>
          <w:rFonts w:ascii="Times New Roman" w:hAnsi="Times New Roman"/>
          <w:szCs w:val="21"/>
        </w:rPr>
      </w:pPr>
      <w:r>
        <w:rPr>
          <w:rFonts w:ascii="Times New Roman" w:hAnsi="Times New Roman"/>
          <w:szCs w:val="21"/>
        </w:rPr>
        <w:t>5.1 甲乙双方应对在本合同签订或履行过程中所接触的对方信息，包括但不限于知识产权、技术资料、技术诀窍、内部管理及其他相关信息，负有保密义务。</w:t>
      </w:r>
    </w:p>
    <w:p w14:paraId="278D5527">
      <w:pPr>
        <w:spacing w:line="360" w:lineRule="auto"/>
        <w:ind w:firstLine="420" w:firstLineChars="200"/>
        <w:rPr>
          <w:rFonts w:ascii="Times New Roman" w:hAnsi="Times New Roman"/>
          <w:szCs w:val="21"/>
        </w:rPr>
      </w:pPr>
      <w:r>
        <w:rPr>
          <w:rFonts w:ascii="Times New Roman" w:hAnsi="Times New Roman"/>
          <w:szCs w:val="21"/>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39D0D860">
      <w:pPr>
        <w:spacing w:line="360" w:lineRule="auto"/>
        <w:ind w:firstLine="420" w:firstLineChars="200"/>
        <w:rPr>
          <w:rFonts w:ascii="Times New Roman" w:hAnsi="Times New Roman"/>
          <w:szCs w:val="21"/>
        </w:rPr>
      </w:pPr>
      <w:r>
        <w:rPr>
          <w:rFonts w:ascii="Times New Roman" w:hAnsi="Times New Roman"/>
          <w:szCs w:val="21"/>
        </w:rPr>
        <w:t>（1） 应以审慎态度避免泄漏、公开或传播甲方的信息；</w:t>
      </w:r>
    </w:p>
    <w:p w14:paraId="3AE62554">
      <w:pPr>
        <w:spacing w:line="360" w:lineRule="auto"/>
        <w:ind w:firstLine="420" w:firstLineChars="200"/>
        <w:rPr>
          <w:rFonts w:ascii="Times New Roman" w:hAnsi="Times New Roman"/>
          <w:szCs w:val="21"/>
        </w:rPr>
      </w:pPr>
      <w:r>
        <w:rPr>
          <w:rFonts w:ascii="Times New Roman" w:hAnsi="Times New Roman"/>
          <w:szCs w:val="21"/>
        </w:rPr>
        <w:t>（2） 在开发过程中对数据的处理方式应事先得到甲方的许可；</w:t>
      </w:r>
    </w:p>
    <w:p w14:paraId="2D95045B">
      <w:pPr>
        <w:spacing w:line="360" w:lineRule="auto"/>
        <w:ind w:firstLine="420" w:firstLineChars="200"/>
        <w:rPr>
          <w:rFonts w:ascii="Times New Roman" w:hAnsi="Times New Roman"/>
          <w:szCs w:val="21"/>
        </w:rPr>
      </w:pPr>
      <w:r>
        <w:rPr>
          <w:rFonts w:ascii="Times New Roman" w:hAnsi="Times New Roman"/>
          <w:szCs w:val="21"/>
        </w:rPr>
        <w:t>（3） 未经甲方书面许可，不得对有关信息进行修改、补充、复制；</w:t>
      </w:r>
    </w:p>
    <w:p w14:paraId="1D0D0775">
      <w:pPr>
        <w:spacing w:line="360" w:lineRule="auto"/>
        <w:ind w:firstLine="420" w:firstLineChars="200"/>
        <w:rPr>
          <w:rFonts w:ascii="Times New Roman" w:hAnsi="Times New Roman"/>
          <w:szCs w:val="21"/>
        </w:rPr>
      </w:pPr>
      <w:r>
        <w:rPr>
          <w:rFonts w:ascii="Times New Roman" w:hAnsi="Times New Roman"/>
          <w:szCs w:val="21"/>
        </w:rPr>
        <w:t>（4） 未经甲方书面许可，不得将信息以任何方式（如E-mail）携带出甲方场所；</w:t>
      </w:r>
    </w:p>
    <w:p w14:paraId="3B3A47AB">
      <w:pPr>
        <w:spacing w:line="360" w:lineRule="auto"/>
        <w:ind w:firstLine="420" w:firstLineChars="200"/>
        <w:rPr>
          <w:rFonts w:ascii="Times New Roman" w:hAnsi="Times New Roman"/>
          <w:szCs w:val="21"/>
        </w:rPr>
      </w:pPr>
      <w:r>
        <w:rPr>
          <w:rFonts w:ascii="Times New Roman" w:hAnsi="Times New Roman"/>
          <w:szCs w:val="21"/>
        </w:rPr>
        <w:t xml:space="preserve">（5） 未经甲方书面许可，不得将信息透露给任何其他人； </w:t>
      </w:r>
    </w:p>
    <w:p w14:paraId="61512041">
      <w:pPr>
        <w:spacing w:line="360" w:lineRule="auto"/>
        <w:ind w:firstLine="420" w:firstLineChars="200"/>
        <w:rPr>
          <w:rFonts w:ascii="Times New Roman" w:hAnsi="Times New Roman"/>
          <w:szCs w:val="21"/>
        </w:rPr>
      </w:pPr>
      <w:r>
        <w:rPr>
          <w:rFonts w:ascii="Times New Roman" w:hAnsi="Times New Roman"/>
          <w:szCs w:val="21"/>
        </w:rPr>
        <w:t>（6） 严禁在提交的软件产品中设置远程维护接口和后门程序；</w:t>
      </w:r>
    </w:p>
    <w:p w14:paraId="07A5FAF5">
      <w:pPr>
        <w:spacing w:line="360" w:lineRule="auto"/>
        <w:ind w:firstLine="420" w:firstLineChars="200"/>
        <w:rPr>
          <w:rFonts w:ascii="Times New Roman" w:hAnsi="Times New Roman"/>
          <w:szCs w:val="21"/>
        </w:rPr>
      </w:pPr>
      <w:r>
        <w:rPr>
          <w:rFonts w:ascii="Times New Roman" w:hAnsi="Times New Roman"/>
          <w:szCs w:val="21"/>
        </w:rPr>
        <w:t>（7） 不得进行系统软硬件设备的远程维护；</w:t>
      </w:r>
    </w:p>
    <w:p w14:paraId="79EED5A0">
      <w:pPr>
        <w:spacing w:line="360" w:lineRule="auto"/>
        <w:ind w:firstLine="420" w:firstLineChars="200"/>
        <w:rPr>
          <w:rFonts w:ascii="Times New Roman" w:hAnsi="Times New Roman"/>
          <w:szCs w:val="21"/>
        </w:rPr>
      </w:pPr>
      <w:r>
        <w:rPr>
          <w:rFonts w:ascii="Times New Roman" w:hAnsi="Times New Roman"/>
          <w:szCs w:val="21"/>
        </w:rPr>
        <w:t>（8） 甲方以书面形式提出的其他保密措施。</w:t>
      </w:r>
    </w:p>
    <w:p w14:paraId="6CCA55B0">
      <w:pPr>
        <w:spacing w:line="360" w:lineRule="auto"/>
        <w:ind w:firstLine="420" w:firstLineChars="200"/>
        <w:rPr>
          <w:rFonts w:ascii="Times New Roman" w:hAnsi="Times New Roman"/>
          <w:szCs w:val="21"/>
        </w:rPr>
      </w:pPr>
      <w:r>
        <w:rPr>
          <w:rFonts w:ascii="Times New Roman" w:hAnsi="Times New Roman"/>
          <w:szCs w:val="21"/>
        </w:rPr>
        <w:t>5.3 保密期限不受合同有效期的限制，在合同有效期结束后，信息接受方仍应承担保密义务，直至该等信息成为公开信息。</w:t>
      </w:r>
    </w:p>
    <w:p w14:paraId="53621930">
      <w:pPr>
        <w:spacing w:line="360" w:lineRule="auto"/>
        <w:ind w:firstLine="420" w:firstLineChars="200"/>
        <w:rPr>
          <w:rFonts w:ascii="Times New Roman" w:hAnsi="Times New Roman"/>
          <w:szCs w:val="21"/>
        </w:rPr>
      </w:pPr>
      <w:r>
        <w:rPr>
          <w:rFonts w:ascii="Times New Roman" w:hAnsi="Times New Roman"/>
          <w:szCs w:val="21"/>
        </w:rPr>
        <w:t>5.4 甲乙双方如出现泄密行为，泄密方应承担相关的法律责任，包括但是不限于对由此给对方造成的经济损失进行赔偿。</w:t>
      </w:r>
    </w:p>
    <w:p w14:paraId="431C22CF">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6. 履约验收要求</w:t>
      </w:r>
    </w:p>
    <w:p w14:paraId="69860861">
      <w:pPr>
        <w:spacing w:line="360" w:lineRule="auto"/>
        <w:ind w:firstLine="420" w:firstLineChars="200"/>
        <w:rPr>
          <w:rFonts w:ascii="Times New Roman" w:hAnsi="Times New Roman"/>
          <w:szCs w:val="21"/>
        </w:rPr>
      </w:pPr>
      <w:r>
        <w:rPr>
          <w:rFonts w:ascii="Times New Roman" w:hAnsi="Times New Roman"/>
          <w:szCs w:val="21"/>
        </w:rPr>
        <w:t>6.1 甲方需求部门严格按照采购合同开展履约验收。验收时,应当按照本合同约定的技术、服务和安全标准，对</w:t>
      </w:r>
      <w:r>
        <w:rPr>
          <w:rFonts w:hint="eastAsia" w:ascii="Times New Roman" w:hAnsi="Times New Roman"/>
          <w:szCs w:val="21"/>
        </w:rPr>
        <w:t>供应商</w:t>
      </w:r>
      <w:r>
        <w:rPr>
          <w:rFonts w:ascii="Times New Roman" w:hAnsi="Times New Roman"/>
          <w:szCs w:val="21"/>
        </w:rPr>
        <w:t>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14:paraId="1423EDB2">
      <w:pPr>
        <w:spacing w:line="360" w:lineRule="auto"/>
        <w:ind w:firstLine="420" w:firstLineChars="200"/>
        <w:rPr>
          <w:rFonts w:ascii="Times New Roman" w:hAnsi="Times New Roman"/>
          <w:szCs w:val="21"/>
        </w:rPr>
      </w:pPr>
      <w:r>
        <w:rPr>
          <w:rFonts w:ascii="Times New Roman" w:hAnsi="Times New Roman"/>
          <w:szCs w:val="21"/>
        </w:rPr>
        <w:t>6.2具体履约验收要求详见招标（采购）文件。</w:t>
      </w:r>
    </w:p>
    <w:p w14:paraId="5488AAC3">
      <w:pPr>
        <w:tabs>
          <w:tab w:val="left" w:pos="0"/>
          <w:tab w:val="left" w:pos="540"/>
        </w:tabs>
        <w:spacing w:line="360" w:lineRule="auto"/>
        <w:ind w:firstLine="422" w:firstLineChars="200"/>
        <w:rPr>
          <w:rFonts w:ascii="Times New Roman" w:hAnsi="Times New Roman"/>
          <w:b/>
          <w:szCs w:val="21"/>
        </w:rPr>
      </w:pPr>
      <w:r>
        <w:rPr>
          <w:rFonts w:ascii="Times New Roman" w:hAnsi="Times New Roman"/>
          <w:b/>
          <w:szCs w:val="21"/>
        </w:rPr>
        <w:t>7. 履约保证金</w:t>
      </w:r>
    </w:p>
    <w:p w14:paraId="23596060">
      <w:pPr>
        <w:tabs>
          <w:tab w:val="left" w:pos="700"/>
        </w:tabs>
        <w:spacing w:line="360" w:lineRule="auto"/>
        <w:ind w:firstLine="420" w:firstLineChars="200"/>
        <w:rPr>
          <w:rFonts w:ascii="Times New Roman" w:hAnsi="Times New Roman"/>
          <w:szCs w:val="21"/>
        </w:rPr>
      </w:pPr>
      <w:r>
        <w:rPr>
          <w:rFonts w:ascii="Times New Roman" w:hAnsi="Times New Roman"/>
          <w:szCs w:val="21"/>
        </w:rPr>
        <w:t>7.1 需提交履约保证金的项目，乙方应按照“合同条款前附表”第 10 项“履约保证金及返还”提交履约保证金。</w:t>
      </w:r>
    </w:p>
    <w:p w14:paraId="567B7817">
      <w:pPr>
        <w:tabs>
          <w:tab w:val="left" w:pos="700"/>
        </w:tabs>
        <w:spacing w:line="360" w:lineRule="auto"/>
        <w:ind w:firstLine="420" w:firstLineChars="200"/>
        <w:rPr>
          <w:rFonts w:ascii="Times New Roman" w:hAnsi="Times New Roman"/>
          <w:szCs w:val="21"/>
        </w:rPr>
      </w:pPr>
      <w:r>
        <w:rPr>
          <w:rFonts w:ascii="Times New Roman" w:hAnsi="Times New Roman"/>
          <w:szCs w:val="21"/>
        </w:rPr>
        <w:t>7.2 履约保证金的金额可用于补偿甲方因乙方不能完成其合同义务而蒙受的损失。</w:t>
      </w:r>
    </w:p>
    <w:p w14:paraId="661C0997">
      <w:pPr>
        <w:tabs>
          <w:tab w:val="left" w:pos="700"/>
        </w:tabs>
        <w:spacing w:line="360" w:lineRule="auto"/>
        <w:ind w:firstLine="420" w:firstLineChars="200"/>
        <w:rPr>
          <w:rFonts w:ascii="Times New Roman" w:hAnsi="Times New Roman"/>
          <w:szCs w:val="21"/>
        </w:rPr>
      </w:pPr>
      <w:r>
        <w:rPr>
          <w:rFonts w:ascii="Times New Roman" w:hAnsi="Times New Roman"/>
          <w:szCs w:val="21"/>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12BC580">
      <w:pPr>
        <w:tabs>
          <w:tab w:val="left" w:pos="700"/>
        </w:tabs>
        <w:spacing w:line="360" w:lineRule="auto"/>
        <w:ind w:firstLine="420" w:firstLineChars="200"/>
        <w:rPr>
          <w:rFonts w:ascii="Times New Roman" w:hAnsi="Times New Roman"/>
          <w:szCs w:val="21"/>
        </w:rPr>
      </w:pPr>
      <w:r>
        <w:rPr>
          <w:rFonts w:ascii="Times New Roman" w:hAnsi="Times New Roman"/>
          <w:szCs w:val="21"/>
        </w:rPr>
        <w:t>7.4 乙方不履行合同、或者履行合同义务不符合约定使得合同目的不能实现，履约保证金不予退还，并应按合同约定支付违约金、赔偿金等。</w:t>
      </w:r>
    </w:p>
    <w:p w14:paraId="10BB5C49">
      <w:pPr>
        <w:tabs>
          <w:tab w:val="left" w:pos="700"/>
        </w:tabs>
        <w:spacing w:line="360" w:lineRule="auto"/>
        <w:ind w:firstLine="420" w:firstLineChars="200"/>
        <w:rPr>
          <w:rFonts w:ascii="Times New Roman" w:hAnsi="Times New Roman"/>
          <w:szCs w:val="21"/>
        </w:rPr>
      </w:pPr>
      <w:r>
        <w:rPr>
          <w:rFonts w:ascii="Times New Roman" w:hAnsi="Times New Roman"/>
          <w:szCs w:val="21"/>
        </w:rPr>
        <w:t>7.5 履约保证金在合同履行期满后，扣除相应款项（如有）且双方无争议后，凭返还申请等资料一次性无息返还，详见“合同条款前附表”第10项“履约保证金及返还”。</w:t>
      </w:r>
    </w:p>
    <w:p w14:paraId="6D6EAA0C">
      <w:pPr>
        <w:tabs>
          <w:tab w:val="left" w:pos="0"/>
          <w:tab w:val="left" w:pos="540"/>
        </w:tabs>
        <w:spacing w:line="360" w:lineRule="auto"/>
        <w:ind w:firstLine="422" w:firstLineChars="200"/>
        <w:rPr>
          <w:rFonts w:ascii="Times New Roman" w:hAnsi="Times New Roman"/>
          <w:b/>
          <w:szCs w:val="21"/>
        </w:rPr>
      </w:pPr>
      <w:r>
        <w:rPr>
          <w:rFonts w:ascii="Times New Roman" w:hAnsi="Times New Roman"/>
          <w:b/>
          <w:szCs w:val="21"/>
        </w:rPr>
        <w:t>8．履约延误</w:t>
      </w:r>
    </w:p>
    <w:p w14:paraId="01F3B29C">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8.1 乙方应按照本合同的规定提供服务。</w:t>
      </w:r>
    </w:p>
    <w:p w14:paraId="0FDC4A28">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13207D80">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14:paraId="561E8943">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8.4 除不可抗力和根据合同规定延期取得甲方同意而不收取误期违约金之外，乙方延误工期，将按合同规定被收取误期违约金。</w:t>
      </w:r>
    </w:p>
    <w:p w14:paraId="75062DEC">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14:paraId="6A4E0FFA">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9. 违约责任</w:t>
      </w:r>
    </w:p>
    <w:p w14:paraId="45B96FF2">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4F15521B">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14:paraId="32D9152C">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9.3 除应支付甲方违约金等外，甲方有权根据合同或有关部门出具的检验证书向乙方提出索赔。</w:t>
      </w:r>
    </w:p>
    <w:p w14:paraId="6E8E6C3A">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9.4 如果乙方对差异负有责任而甲方提出索赔，乙方同意按照下列方式解决索赔事宜：</w:t>
      </w:r>
    </w:p>
    <w:p w14:paraId="32C55B20">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14:paraId="50D6A684">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9.5 对于本协议未约定的、招标（采购）文件（技术部分）中约定的违约处理条款，按招标（采购）文件（技术部分）相关约定执行；对本协议与招标（采购）文件（技术部分）约定不同的违约处理条款，以本协议约定为准。</w:t>
      </w:r>
    </w:p>
    <w:p w14:paraId="5B560988">
      <w:pPr>
        <w:spacing w:line="360" w:lineRule="auto"/>
        <w:ind w:firstLine="422" w:firstLineChars="200"/>
        <w:rPr>
          <w:rFonts w:ascii="Times New Roman" w:hAnsi="Times New Roman"/>
          <w:b/>
          <w:szCs w:val="21"/>
        </w:rPr>
      </w:pPr>
      <w:r>
        <w:rPr>
          <w:rFonts w:ascii="Times New Roman" w:hAnsi="Times New Roman"/>
          <w:b/>
          <w:szCs w:val="21"/>
        </w:rPr>
        <w:t>10. 不可抗力</w:t>
      </w:r>
    </w:p>
    <w:p w14:paraId="0AD026FA">
      <w:pPr>
        <w:spacing w:line="360" w:lineRule="auto"/>
        <w:ind w:firstLine="420" w:firstLineChars="200"/>
        <w:rPr>
          <w:rFonts w:ascii="Times New Roman" w:hAnsi="Times New Roman"/>
          <w:szCs w:val="21"/>
        </w:rPr>
      </w:pPr>
      <w:r>
        <w:rPr>
          <w:rFonts w:ascii="Times New Roman" w:hAnsi="Times New Roman"/>
          <w:szCs w:val="21"/>
        </w:rPr>
        <w:t>10.1 本条所述的“不可抗力”系指双方不可预见、不可避免、不可克服的客观情况，但不包括双方的违约或疏忽。这些事件包括但不限于：战争、严重火灾、洪水、台风、地震等。</w:t>
      </w:r>
    </w:p>
    <w:p w14:paraId="0172947D">
      <w:pPr>
        <w:spacing w:line="360" w:lineRule="auto"/>
        <w:ind w:firstLine="420" w:firstLineChars="200"/>
        <w:rPr>
          <w:rFonts w:ascii="Times New Roman" w:hAnsi="Times New Roman"/>
          <w:szCs w:val="21"/>
        </w:rPr>
      </w:pPr>
      <w:r>
        <w:rPr>
          <w:rFonts w:ascii="Times New Roman" w:hAnsi="Times New Roman"/>
          <w:szCs w:val="21"/>
        </w:rPr>
        <w:t>10.2 如果乙方因不可抗力而导致合同实施延误或不能履行合同义务，不应承担误期赔偿或终止合同的责任。</w:t>
      </w:r>
    </w:p>
    <w:p w14:paraId="35A0E7F7">
      <w:pPr>
        <w:spacing w:line="360" w:lineRule="auto"/>
        <w:ind w:firstLine="420" w:firstLineChars="200"/>
        <w:rPr>
          <w:rFonts w:ascii="Times New Roman" w:hAnsi="Times New Roman"/>
          <w:szCs w:val="21"/>
        </w:rPr>
      </w:pPr>
      <w:r>
        <w:rPr>
          <w:rFonts w:ascii="Times New Roman" w:hAnsi="Times New Roman"/>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3CF61939">
      <w:pPr>
        <w:spacing w:line="360" w:lineRule="auto"/>
        <w:ind w:firstLine="420" w:firstLineChars="200"/>
        <w:rPr>
          <w:rFonts w:ascii="Times New Roman" w:hAnsi="Times New Roman"/>
          <w:szCs w:val="21"/>
        </w:rPr>
      </w:pPr>
      <w:r>
        <w:rPr>
          <w:rFonts w:ascii="Times New Roman" w:hAnsi="Times New Roman"/>
          <w:szCs w:val="21"/>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4551FB25">
      <w:pPr>
        <w:spacing w:line="360" w:lineRule="auto"/>
        <w:ind w:firstLine="422" w:firstLineChars="200"/>
        <w:rPr>
          <w:rFonts w:ascii="Times New Roman" w:hAnsi="Times New Roman"/>
          <w:b/>
          <w:szCs w:val="21"/>
        </w:rPr>
      </w:pPr>
      <w:r>
        <w:rPr>
          <w:rFonts w:ascii="Times New Roman" w:hAnsi="Times New Roman"/>
          <w:b/>
          <w:szCs w:val="21"/>
        </w:rPr>
        <w:t>11. 争端的解决</w:t>
      </w:r>
    </w:p>
    <w:p w14:paraId="58AB298C">
      <w:pPr>
        <w:spacing w:line="360" w:lineRule="auto"/>
        <w:ind w:firstLine="420" w:firstLineChars="200"/>
        <w:rPr>
          <w:rFonts w:ascii="Times New Roman" w:hAnsi="Times New Roman"/>
          <w:szCs w:val="21"/>
        </w:rPr>
      </w:pPr>
      <w:r>
        <w:rPr>
          <w:rFonts w:ascii="Times New Roman" w:hAnsi="Times New Roman"/>
          <w:szCs w:val="21"/>
        </w:rPr>
        <w:t>11.1 甲乙双方应首先通过友好协商解决在执行本合同中所发生的或与本合同有关的一切争端。如从协商开始</w:t>
      </w:r>
      <w:r>
        <w:rPr>
          <w:rFonts w:ascii="Times New Roman" w:hAnsi="Times New Roman"/>
          <w:szCs w:val="21"/>
          <w:u w:val="single"/>
        </w:rPr>
        <w:t xml:space="preserve">    </w:t>
      </w:r>
      <w:r>
        <w:rPr>
          <w:rFonts w:ascii="Times New Roman" w:hAnsi="Times New Roman"/>
          <w:szCs w:val="21"/>
        </w:rPr>
        <w:t>天内仍不能解决，可以按合同约定的方式提起仲裁或诉讼。</w:t>
      </w:r>
    </w:p>
    <w:p w14:paraId="143B2619">
      <w:pPr>
        <w:spacing w:line="360" w:lineRule="auto"/>
        <w:ind w:left="239" w:leftChars="114" w:firstLine="210" w:firstLineChars="100"/>
        <w:rPr>
          <w:rFonts w:ascii="Times New Roman" w:hAnsi="Times New Roman"/>
          <w:szCs w:val="21"/>
        </w:rPr>
      </w:pPr>
      <w:r>
        <w:rPr>
          <w:rFonts w:ascii="Times New Roman" w:hAnsi="Times New Roman"/>
          <w:szCs w:val="21"/>
        </w:rPr>
        <w:t>11.2.1仲裁应向甲方所在地或</w:t>
      </w:r>
      <w:r>
        <w:rPr>
          <w:rFonts w:ascii="Times New Roman" w:hAnsi="Times New Roman"/>
          <w:szCs w:val="21"/>
          <w:u w:val="single"/>
        </w:rPr>
        <w:t xml:space="preserve">       </w:t>
      </w:r>
      <w:r>
        <w:rPr>
          <w:rFonts w:ascii="Times New Roman" w:hAnsi="Times New Roman"/>
          <w:szCs w:val="21"/>
        </w:rPr>
        <w:t>仲裁委员会申请仲裁。</w:t>
      </w:r>
    </w:p>
    <w:p w14:paraId="47A34C5F">
      <w:pPr>
        <w:spacing w:line="360" w:lineRule="auto"/>
        <w:ind w:firstLine="420" w:firstLineChars="200"/>
        <w:rPr>
          <w:rFonts w:ascii="Times New Roman" w:hAnsi="Times New Roman"/>
          <w:szCs w:val="21"/>
        </w:rPr>
      </w:pPr>
      <w:r>
        <w:rPr>
          <w:rFonts w:ascii="Times New Roman" w:hAnsi="Times New Roman"/>
          <w:szCs w:val="21"/>
        </w:rPr>
        <w:t>11.2.2 仲裁裁决应为最终裁决，对双方均具有约束力。</w:t>
      </w:r>
    </w:p>
    <w:p w14:paraId="42E5E650">
      <w:pPr>
        <w:spacing w:line="360" w:lineRule="auto"/>
        <w:ind w:firstLine="420" w:firstLineChars="200"/>
        <w:rPr>
          <w:rFonts w:ascii="Times New Roman" w:hAnsi="Times New Roman"/>
          <w:szCs w:val="21"/>
        </w:rPr>
      </w:pPr>
      <w:r>
        <w:rPr>
          <w:rFonts w:ascii="Times New Roman" w:hAnsi="Times New Roman"/>
          <w:szCs w:val="21"/>
        </w:rPr>
        <w:t>11.2.3 仲裁费除仲裁机关另有裁决外应由败诉方负担。</w:t>
      </w:r>
    </w:p>
    <w:p w14:paraId="7679FBBD">
      <w:pPr>
        <w:spacing w:line="360" w:lineRule="auto"/>
        <w:ind w:firstLine="420" w:firstLineChars="200"/>
        <w:rPr>
          <w:rFonts w:ascii="Times New Roman" w:hAnsi="Times New Roman"/>
          <w:szCs w:val="21"/>
        </w:rPr>
      </w:pPr>
      <w:r>
        <w:rPr>
          <w:rFonts w:ascii="Times New Roman" w:hAnsi="Times New Roman"/>
          <w:szCs w:val="21"/>
        </w:rPr>
        <w:t>11.2.4在仲裁期间，除正在进行仲裁部分外，本合同的其它部分应继续执行。</w:t>
      </w:r>
    </w:p>
    <w:p w14:paraId="2C9B3412">
      <w:pPr>
        <w:spacing w:line="360" w:lineRule="auto"/>
        <w:ind w:firstLine="420" w:firstLineChars="200"/>
        <w:rPr>
          <w:rFonts w:ascii="Times New Roman" w:hAnsi="Times New Roman"/>
          <w:szCs w:val="21"/>
        </w:rPr>
      </w:pPr>
      <w:r>
        <w:rPr>
          <w:rFonts w:ascii="Times New Roman" w:hAnsi="Times New Roman"/>
          <w:szCs w:val="21"/>
        </w:rPr>
        <w:t>11.3.1诉讼应向甲方所在地或</w:t>
      </w:r>
      <w:r>
        <w:rPr>
          <w:rFonts w:ascii="Times New Roman" w:hAnsi="Times New Roman"/>
          <w:szCs w:val="21"/>
          <w:u w:val="single"/>
        </w:rPr>
        <w:t xml:space="preserve">      </w:t>
      </w:r>
      <w:r>
        <w:rPr>
          <w:rFonts w:ascii="Times New Roman" w:hAnsi="Times New Roman"/>
          <w:szCs w:val="21"/>
        </w:rPr>
        <w:t>人民法院提起诉讼。</w:t>
      </w:r>
    </w:p>
    <w:p w14:paraId="225D2ACD">
      <w:pPr>
        <w:spacing w:line="360" w:lineRule="auto"/>
        <w:ind w:firstLine="420" w:firstLineChars="200"/>
        <w:rPr>
          <w:rFonts w:ascii="Times New Roman" w:hAnsi="Times New Roman"/>
          <w:szCs w:val="21"/>
        </w:rPr>
      </w:pPr>
      <w:r>
        <w:rPr>
          <w:rFonts w:ascii="Times New Roman" w:hAnsi="Times New Roman"/>
          <w:szCs w:val="21"/>
        </w:rPr>
        <w:t>11.3.2诉讼费除人民法院另有判决外，应由败诉方负担。</w:t>
      </w:r>
    </w:p>
    <w:p w14:paraId="4CBD16A0">
      <w:pPr>
        <w:spacing w:line="360" w:lineRule="auto"/>
        <w:ind w:firstLine="420" w:firstLineChars="200"/>
        <w:rPr>
          <w:rFonts w:ascii="Times New Roman" w:hAnsi="Times New Roman"/>
          <w:szCs w:val="21"/>
        </w:rPr>
      </w:pPr>
      <w:r>
        <w:rPr>
          <w:rFonts w:ascii="Times New Roman" w:hAnsi="Times New Roman"/>
          <w:szCs w:val="21"/>
        </w:rPr>
        <w:t>11.3.3在诉讼期间，除正在进行诉讼部分外，本合同的其它部分应继续执行。</w:t>
      </w:r>
    </w:p>
    <w:p w14:paraId="5DD8F9D8">
      <w:pPr>
        <w:spacing w:line="360" w:lineRule="auto"/>
        <w:ind w:firstLine="422" w:firstLineChars="200"/>
        <w:rPr>
          <w:rFonts w:ascii="Times New Roman" w:hAnsi="Times New Roman"/>
          <w:b/>
          <w:szCs w:val="21"/>
        </w:rPr>
      </w:pPr>
      <w:r>
        <w:rPr>
          <w:rFonts w:ascii="Times New Roman" w:hAnsi="Times New Roman"/>
          <w:b/>
          <w:szCs w:val="21"/>
        </w:rPr>
        <w:t>12. 违约终止合同</w:t>
      </w:r>
    </w:p>
    <w:p w14:paraId="22D1FF6B">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3C8C7697">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12.1.1 乙方不履行合同义务或者履行合同义务不符合合同约定累计达两次的；</w:t>
      </w:r>
    </w:p>
    <w:p w14:paraId="49698B56">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12.1.2 如果乙方未能在合同规定的期限或甲方同意延长的期限内提供服务，迟延累计达20日的；</w:t>
      </w:r>
    </w:p>
    <w:p w14:paraId="521CF3A2">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12.1.3 因乙方人员自身技术能力、经验不足等问题造成甲方发生重大紧急故障，带来重大影响和损失的；</w:t>
      </w:r>
    </w:p>
    <w:p w14:paraId="6DF901E9">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12.1.4 乙方对重大紧急故障没有及时响应，或不能在规定时间内解决处理故障、恢复正常运行的；</w:t>
      </w:r>
    </w:p>
    <w:p w14:paraId="5B0F538F">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12.1.5 乙方不能满足本项目技术需求的管理要求和规范，且经两次整改无明显改进的；</w:t>
      </w:r>
    </w:p>
    <w:p w14:paraId="2CF7758D">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14:paraId="72ECC5F2">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12.1.7 乙方在本项目实施过程中发生违反网络安全规定行为造成不良后果的。</w:t>
      </w:r>
    </w:p>
    <w:p w14:paraId="21C3FD62">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12.1.8 乙方提供的服务侵犯甲方、第三方知识产权等合法权益的；</w:t>
      </w:r>
    </w:p>
    <w:p w14:paraId="0E8AC71C">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12.1.9 乙方或乙方人员造成甲方或第三方经济损失而拒不赔偿的；</w:t>
      </w:r>
    </w:p>
    <w:p w14:paraId="180F2B1D">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12.1.10 乙方转让其应履行的合同义务，或未经甲方同意采取分包方式履行合同</w:t>
      </w:r>
    </w:p>
    <w:p w14:paraId="321ACE81">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的；</w:t>
      </w:r>
    </w:p>
    <w:p w14:paraId="2F51D54E">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12.1.11 乙方有其他严重违约行为的。</w:t>
      </w:r>
    </w:p>
    <w:p w14:paraId="7D100C9F">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14:paraId="03EA6858">
      <w:pPr>
        <w:spacing w:line="360" w:lineRule="auto"/>
        <w:ind w:firstLine="422" w:firstLineChars="200"/>
        <w:rPr>
          <w:rFonts w:ascii="Times New Roman" w:hAnsi="Times New Roman"/>
          <w:b/>
          <w:szCs w:val="21"/>
        </w:rPr>
      </w:pPr>
      <w:r>
        <w:rPr>
          <w:rFonts w:ascii="Times New Roman" w:hAnsi="Times New Roman"/>
          <w:b/>
          <w:szCs w:val="21"/>
        </w:rPr>
        <w:t>13. 破产终止合同</w:t>
      </w:r>
    </w:p>
    <w:p w14:paraId="1790D3C5">
      <w:pPr>
        <w:spacing w:line="360" w:lineRule="auto"/>
        <w:ind w:firstLine="420" w:firstLineChars="200"/>
        <w:rPr>
          <w:rFonts w:ascii="Times New Roman" w:hAnsi="Times New Roman"/>
          <w:szCs w:val="21"/>
        </w:rPr>
      </w:pPr>
      <w:r>
        <w:rPr>
          <w:rFonts w:ascii="Times New Roman" w:hAnsi="Times New Roman"/>
          <w:szCs w:val="21"/>
        </w:rPr>
        <w:t>13.1 如果乙方破产或无清偿能力，甲方可在任何时候以书面形式通知乙方终止合同而不给乙方补偿。</w:t>
      </w:r>
    </w:p>
    <w:p w14:paraId="6A3B5A84">
      <w:pPr>
        <w:spacing w:line="360" w:lineRule="auto"/>
        <w:ind w:firstLine="420" w:firstLineChars="200"/>
        <w:rPr>
          <w:rFonts w:ascii="Times New Roman" w:hAnsi="Times New Roman"/>
          <w:szCs w:val="21"/>
        </w:rPr>
      </w:pPr>
      <w:r>
        <w:rPr>
          <w:rFonts w:ascii="Times New Roman" w:hAnsi="Times New Roman"/>
          <w:szCs w:val="21"/>
        </w:rPr>
        <w:t>13.2该终止合同将不损害或影响甲方已经采取或将要采取的任何行动或补救措施的权利。</w:t>
      </w:r>
    </w:p>
    <w:p w14:paraId="64C67CCB">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14. 其他情况的终止合同</w:t>
      </w:r>
    </w:p>
    <w:p w14:paraId="4DBDBE17">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14.1 乙方在执行合同的过程中发生重大事故或变故，对履行合同有直接影响的，甲方可以提出终止合同而不给予乙方任何补偿。</w:t>
      </w:r>
    </w:p>
    <w:p w14:paraId="4FF2E9AE">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14.2 在服务期内，由于甲方工作计划调整，推广使用新应用系统导致本项目相关服务停止的，甲方可以提出终止合同而不给予乙方任何补偿。</w:t>
      </w:r>
    </w:p>
    <w:p w14:paraId="0EE07122">
      <w:pPr>
        <w:tabs>
          <w:tab w:val="left" w:pos="700"/>
        </w:tabs>
        <w:spacing w:line="360" w:lineRule="auto"/>
        <w:ind w:firstLine="422" w:firstLineChars="200"/>
        <w:rPr>
          <w:rFonts w:ascii="Times New Roman" w:hAnsi="Times New Roman"/>
          <w:b/>
          <w:szCs w:val="21"/>
        </w:rPr>
      </w:pPr>
      <w:r>
        <w:rPr>
          <w:rFonts w:ascii="Times New Roman" w:hAnsi="Times New Roman"/>
          <w:b/>
          <w:szCs w:val="21"/>
        </w:rPr>
        <w:t>15. 合同修改或变更</w:t>
      </w:r>
    </w:p>
    <w:p w14:paraId="06B3D832">
      <w:pPr>
        <w:spacing w:line="360" w:lineRule="auto"/>
        <w:ind w:firstLine="482"/>
        <w:rPr>
          <w:rFonts w:ascii="Times New Roman" w:hAnsi="Times New Roman"/>
          <w:szCs w:val="21"/>
        </w:rPr>
      </w:pPr>
      <w:r>
        <w:rPr>
          <w:rFonts w:ascii="Times New Roman" w:hAnsi="Times New Roman"/>
          <w:szCs w:val="21"/>
        </w:rPr>
        <w:t>15.1 合同如有未尽事宜，须经甲乙双方共同协商，做出补充约定，并签订书面补充合同或变更协议。补充合同或变更协议作为本合同的一部分，与本合同具有同等效力。</w:t>
      </w:r>
    </w:p>
    <w:p w14:paraId="7B1A1940">
      <w:pPr>
        <w:topLinePunct/>
        <w:autoSpaceDE w:val="0"/>
        <w:autoSpaceDN w:val="0"/>
        <w:spacing w:line="360" w:lineRule="auto"/>
        <w:ind w:firstLine="420" w:firstLineChars="200"/>
        <w:rPr>
          <w:rFonts w:ascii="Times New Roman" w:hAnsi="Times New Roman"/>
          <w:b/>
          <w:szCs w:val="21"/>
        </w:rPr>
      </w:pPr>
      <w:r>
        <w:rPr>
          <w:rFonts w:ascii="Times New Roman" w:hAnsi="Times New Roman"/>
          <w:szCs w:val="21"/>
        </w:rPr>
        <w:t>15.2 除了双方签署书面修改或变更协议，并成为本合同不可分割的一部分的情况之外，本合同的条款不得有任何变化或修改。</w:t>
      </w:r>
    </w:p>
    <w:p w14:paraId="7548F900">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15.3 由于采购人项目统一规划等原因导致本项目停止部分服务的，甲方将与乙方协商处理。</w:t>
      </w:r>
    </w:p>
    <w:p w14:paraId="3C3FF6BA">
      <w:pPr>
        <w:spacing w:line="360" w:lineRule="auto"/>
        <w:ind w:firstLine="422" w:firstLineChars="200"/>
        <w:rPr>
          <w:rFonts w:ascii="Times New Roman" w:hAnsi="Times New Roman"/>
          <w:b/>
          <w:szCs w:val="21"/>
        </w:rPr>
      </w:pPr>
      <w:r>
        <w:rPr>
          <w:rFonts w:ascii="Times New Roman" w:hAnsi="Times New Roman"/>
          <w:b/>
          <w:szCs w:val="21"/>
        </w:rPr>
        <w:t>16. 转让和分包</w:t>
      </w:r>
    </w:p>
    <w:p w14:paraId="094480E9">
      <w:pPr>
        <w:spacing w:line="360" w:lineRule="auto"/>
        <w:ind w:firstLine="420" w:firstLineChars="200"/>
        <w:rPr>
          <w:rFonts w:ascii="Times New Roman" w:hAnsi="Times New Roman"/>
          <w:szCs w:val="21"/>
        </w:rPr>
      </w:pPr>
      <w:r>
        <w:rPr>
          <w:rFonts w:ascii="Times New Roman" w:hAnsi="Times New Roman"/>
          <w:szCs w:val="21"/>
        </w:rPr>
        <w:t>16.1 除甲方事先书面同意外，乙方不得部分转让或全部转让其应履行的合同义务。</w:t>
      </w:r>
    </w:p>
    <w:p w14:paraId="5B6369FE">
      <w:pPr>
        <w:spacing w:line="360" w:lineRule="auto"/>
        <w:ind w:firstLine="420" w:firstLineChars="200"/>
        <w:rPr>
          <w:rFonts w:ascii="Times New Roman" w:hAnsi="Times New Roman"/>
          <w:szCs w:val="21"/>
        </w:rPr>
      </w:pPr>
      <w:r>
        <w:rPr>
          <w:rFonts w:ascii="Times New Roman" w:hAnsi="Times New Roman"/>
          <w:szCs w:val="21"/>
        </w:rPr>
        <w:t>16.2 未经甲方同意，乙方不得采取分包方式履行合同。经甲方同意分包履行合同的，乙方就采购项目及分包项目向甲方负责，分包供应商就分包项目承担责任。</w:t>
      </w:r>
    </w:p>
    <w:p w14:paraId="67F183E8">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17. 合同语言</w:t>
      </w:r>
    </w:p>
    <w:p w14:paraId="68FC4291">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17.1 本合同语言为中文。</w:t>
      </w:r>
    </w:p>
    <w:p w14:paraId="189FAE88">
      <w:pPr>
        <w:spacing w:line="360" w:lineRule="auto"/>
        <w:ind w:firstLine="420" w:firstLineChars="200"/>
        <w:rPr>
          <w:rFonts w:ascii="Times New Roman" w:hAnsi="Times New Roman"/>
          <w:szCs w:val="21"/>
        </w:rPr>
      </w:pPr>
      <w:r>
        <w:rPr>
          <w:rFonts w:ascii="Times New Roman" w:hAnsi="Times New Roman"/>
          <w:szCs w:val="21"/>
        </w:rPr>
        <w:t>17.2 双方交换的与合同有关的信件和其他文件应用合同语言书写。</w:t>
      </w:r>
    </w:p>
    <w:p w14:paraId="50CF8FB1">
      <w:pPr>
        <w:spacing w:line="360" w:lineRule="auto"/>
        <w:ind w:firstLine="422" w:firstLineChars="200"/>
        <w:rPr>
          <w:rFonts w:ascii="Times New Roman" w:hAnsi="Times New Roman"/>
          <w:b/>
          <w:szCs w:val="21"/>
        </w:rPr>
      </w:pPr>
      <w:r>
        <w:rPr>
          <w:rFonts w:ascii="Times New Roman" w:hAnsi="Times New Roman"/>
          <w:b/>
          <w:szCs w:val="21"/>
        </w:rPr>
        <w:t>18. 适用法律</w:t>
      </w:r>
    </w:p>
    <w:p w14:paraId="505BC8EA">
      <w:pPr>
        <w:spacing w:line="360" w:lineRule="auto"/>
        <w:ind w:firstLine="420" w:firstLineChars="200"/>
        <w:rPr>
          <w:rFonts w:ascii="Times New Roman" w:hAnsi="Times New Roman"/>
          <w:szCs w:val="21"/>
        </w:rPr>
      </w:pPr>
      <w:r>
        <w:rPr>
          <w:rFonts w:ascii="Times New Roman" w:hAnsi="Times New Roman"/>
          <w:szCs w:val="21"/>
        </w:rPr>
        <w:t>18.1 本合同按照中华人民共和国现行法律进行解释。</w:t>
      </w:r>
    </w:p>
    <w:p w14:paraId="08326B62">
      <w:pPr>
        <w:spacing w:line="360" w:lineRule="auto"/>
        <w:ind w:firstLine="420" w:firstLineChars="200"/>
        <w:rPr>
          <w:rFonts w:ascii="Times New Roman" w:hAnsi="Times New Roman"/>
          <w:szCs w:val="21"/>
        </w:rPr>
      </w:pPr>
      <w:r>
        <w:rPr>
          <w:rFonts w:ascii="Times New Roman" w:hAnsi="Times New Roman"/>
          <w:szCs w:val="21"/>
        </w:rPr>
        <w:t>18.2 本合同的履行、违约责任和解决争议的方法等适用《中华人民共和国民法典（合同编）》。</w:t>
      </w:r>
    </w:p>
    <w:p w14:paraId="03E64EC7">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19. 税费</w:t>
      </w:r>
    </w:p>
    <w:p w14:paraId="5FCBB881">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19.1 乙方应依法缴纳的合同服务相关税费，均已包含于合同总金额中，甲方不再另行支付。</w:t>
      </w:r>
    </w:p>
    <w:p w14:paraId="78C28036">
      <w:pPr>
        <w:tabs>
          <w:tab w:val="left" w:pos="700"/>
        </w:tabs>
        <w:spacing w:line="360" w:lineRule="auto"/>
        <w:ind w:firstLine="422" w:firstLineChars="200"/>
        <w:rPr>
          <w:rFonts w:ascii="Times New Roman" w:hAnsi="Times New Roman"/>
          <w:b/>
          <w:szCs w:val="21"/>
        </w:rPr>
      </w:pPr>
      <w:r>
        <w:rPr>
          <w:rFonts w:ascii="Times New Roman" w:hAnsi="Times New Roman"/>
          <w:b/>
          <w:szCs w:val="21"/>
        </w:rPr>
        <w:t>20. 合同生效</w:t>
      </w:r>
    </w:p>
    <w:p w14:paraId="38A7EB76">
      <w:pPr>
        <w:spacing w:line="360" w:lineRule="auto"/>
        <w:ind w:firstLine="420" w:firstLineChars="200"/>
        <w:rPr>
          <w:rFonts w:ascii="Times New Roman" w:hAnsi="Times New Roman"/>
          <w:szCs w:val="21"/>
        </w:rPr>
      </w:pPr>
      <w:r>
        <w:rPr>
          <w:rFonts w:ascii="Times New Roman" w:hAnsi="Times New Roman"/>
          <w:szCs w:val="21"/>
        </w:rPr>
        <w:t>20.1 本合同一式</w:t>
      </w:r>
      <w:r>
        <w:rPr>
          <w:rFonts w:ascii="Times New Roman" w:hAnsi="Times New Roman"/>
          <w:szCs w:val="21"/>
          <w:u w:val="single"/>
        </w:rPr>
        <w:t xml:space="preserve">   </w:t>
      </w:r>
      <w:r>
        <w:rPr>
          <w:rFonts w:ascii="Times New Roman" w:hAnsi="Times New Roman"/>
          <w:szCs w:val="21"/>
        </w:rPr>
        <w:t>份，由甲乙双方法定代表人或被授权人签字并盖章后生效。</w:t>
      </w:r>
    </w:p>
    <w:p w14:paraId="4FAE2803">
      <w:pPr>
        <w:spacing w:line="360" w:lineRule="auto"/>
        <w:ind w:firstLine="420" w:firstLineChars="200"/>
        <w:rPr>
          <w:rFonts w:ascii="Times New Roman" w:hAnsi="Times New Roman"/>
          <w:szCs w:val="21"/>
        </w:rPr>
      </w:pPr>
    </w:p>
    <w:p w14:paraId="001F6406">
      <w:pPr>
        <w:spacing w:line="360" w:lineRule="auto"/>
        <w:ind w:firstLine="420" w:firstLineChars="200"/>
        <w:rPr>
          <w:rFonts w:ascii="Times New Roman" w:hAnsi="Times New Roman"/>
          <w:szCs w:val="21"/>
        </w:rPr>
      </w:pPr>
    </w:p>
    <w:p w14:paraId="4A3C71F0">
      <w:pPr>
        <w:rPr>
          <w:rFonts w:hint="eastAsia" w:ascii="宋体" w:hAnsi="宋体" w:cs="宋体"/>
          <w:sz w:val="24"/>
        </w:rPr>
      </w:pPr>
      <w:r>
        <w:rPr>
          <w:rFonts w:hint="eastAsia" w:ascii="宋体" w:hAnsi="宋体" w:cs="宋体"/>
          <w:sz w:val="24"/>
        </w:rPr>
        <w:br w:type="page"/>
      </w:r>
    </w:p>
    <w:p w14:paraId="53AA9627">
      <w:pPr>
        <w:ind w:firstLine="480" w:firstLineChars="200"/>
        <w:rPr>
          <w:rFonts w:hint="eastAsia" w:ascii="宋体" w:hAnsi="宋体" w:cs="宋体"/>
          <w:sz w:val="24"/>
        </w:rPr>
      </w:pPr>
    </w:p>
    <w:p w14:paraId="220AF15C">
      <w:pPr>
        <w:topLinePunct/>
        <w:autoSpaceDE w:val="0"/>
        <w:autoSpaceDN w:val="0"/>
        <w:spacing w:line="360" w:lineRule="auto"/>
        <w:jc w:val="center"/>
        <w:rPr>
          <w:rFonts w:hint="eastAsia" w:ascii="宋体" w:hAnsi="宋体" w:cs="宋体"/>
          <w:b/>
          <w:sz w:val="24"/>
        </w:rPr>
      </w:pPr>
      <w:r>
        <w:rPr>
          <w:rFonts w:hint="eastAsia" w:ascii="宋体" w:hAnsi="宋体" w:cs="宋体"/>
          <w:b/>
          <w:sz w:val="24"/>
        </w:rPr>
        <w:t>三   招标（采购）文件及投标（响应）文件（如需要，可另附）</w:t>
      </w:r>
    </w:p>
    <w:p w14:paraId="698C12EC">
      <w:pPr>
        <w:spacing w:line="360" w:lineRule="auto"/>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四   报价表（总报价表和分项报价表，如有需要可另附）</w:t>
      </w:r>
    </w:p>
    <w:p w14:paraId="6FC01033"/>
    <w:p w14:paraId="22AC7199">
      <w:pPr>
        <w:jc w:val="left"/>
        <w:rPr>
          <w:rFonts w:hint="eastAsia" w:ascii="宋体" w:hAnsi="宋体" w:eastAsia="宋体" w:cs="宋体"/>
          <w:b/>
          <w:bCs/>
          <w:sz w:val="28"/>
          <w:szCs w:val="28"/>
        </w:rPr>
      </w:pPr>
      <w:r>
        <w:rPr>
          <w:rFonts w:hint="eastAsia" w:ascii="宋体" w:hAnsi="宋体" w:eastAsia="宋体" w:cs="宋体"/>
          <w:b/>
          <w:bCs/>
          <w:sz w:val="28"/>
          <w:szCs w:val="28"/>
        </w:rPr>
        <w:br w:type="page"/>
      </w:r>
    </w:p>
    <w:p w14:paraId="06F2E50E">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第五章　投标文件格式</w:t>
      </w:r>
      <w:bookmarkEnd w:id="34"/>
    </w:p>
    <w:p w14:paraId="65B78592">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投标人必须按下列文本格式，如实提供具有法律效力的资格证明文件和真实有效的其他文件资料，任何不按下列文本格式提供或有实质性变更将由投标人承担风险。</w:t>
      </w:r>
    </w:p>
    <w:p w14:paraId="0DBF4D1A">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1.投标人应严格按照本章规定填写和提交全部格式文件以及其他有关资料，混乱的编排导致投标文件被误读或查找不到，后果由投标人承担。</w:t>
      </w:r>
    </w:p>
    <w:p w14:paraId="3079E9C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2.所附表格中要求回答的全部问题和信息都必须正面回答。</w:t>
      </w:r>
    </w:p>
    <w:p w14:paraId="17C4FF29">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3.资格声明文件的签字人应保证全部声明和问题的回答是真实的和准确的。</w:t>
      </w:r>
    </w:p>
    <w:p w14:paraId="61C56A2C">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4.评标委员会将应用投标人提交的资料并根据自己的判断，决定投标人履行合同的合格性及能力。</w:t>
      </w:r>
    </w:p>
    <w:p w14:paraId="62A5896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5.全部文件应按投标人须知中规定的语言提交。</w:t>
      </w:r>
    </w:p>
    <w:p w14:paraId="53068FC3">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6.以下格式文件为要求填写内容的固定格式，投标人不得擅自修改格式，其他未提供格式的文件和资料由投标人自行设计编制格式填写。</w:t>
      </w:r>
    </w:p>
    <w:p w14:paraId="054260AF">
      <w:pPr>
        <w:adjustRightInd w:val="0"/>
        <w:snapToGrid w:val="0"/>
        <w:spacing w:before="62" w:beforeLines="20" w:after="4" w:line="360" w:lineRule="auto"/>
        <w:ind w:firstLine="422" w:firstLineChars="200"/>
        <w:jc w:val="center"/>
        <w:rPr>
          <w:rFonts w:hint="eastAsia" w:ascii="宋体" w:hAnsi="宋体" w:eastAsia="宋体" w:cs="宋体"/>
          <w:b/>
          <w:bCs/>
        </w:rPr>
      </w:pPr>
    </w:p>
    <w:p w14:paraId="509C9B1C">
      <w:pPr>
        <w:ind w:firstLine="422" w:firstLineChars="200"/>
        <w:jc w:val="center"/>
        <w:rPr>
          <w:rFonts w:hint="eastAsia" w:ascii="宋体" w:hAnsi="宋体" w:eastAsia="宋体" w:cs="宋体"/>
          <w:b/>
          <w:bCs/>
        </w:rPr>
      </w:pPr>
    </w:p>
    <w:p w14:paraId="1BD4BF60">
      <w:pPr>
        <w:rPr>
          <w:rFonts w:hint="eastAsia" w:ascii="宋体" w:hAnsi="宋体" w:eastAsia="宋体" w:cs="宋体"/>
        </w:rPr>
      </w:pPr>
    </w:p>
    <w:p w14:paraId="387D9A05">
      <w:pPr>
        <w:rPr>
          <w:rFonts w:hint="eastAsia" w:ascii="宋体" w:hAnsi="宋体" w:eastAsia="宋体" w:cs="宋体"/>
          <w:b/>
          <w:bCs/>
        </w:rPr>
      </w:pPr>
    </w:p>
    <w:p w14:paraId="3F9A074A">
      <w:pPr>
        <w:adjustRightInd w:val="0"/>
        <w:snapToGrid w:val="0"/>
        <w:spacing w:line="360" w:lineRule="auto"/>
        <w:jc w:val="center"/>
        <w:rPr>
          <w:rFonts w:hint="eastAsia" w:ascii="宋体" w:hAnsi="宋体" w:eastAsia="宋体" w:cs="宋体"/>
          <w:b/>
          <w:bCs/>
        </w:rPr>
      </w:pPr>
      <w:r>
        <w:rPr>
          <w:rFonts w:hint="eastAsia" w:ascii="宋体" w:hAnsi="宋体" w:eastAsia="宋体" w:cs="宋体"/>
          <w:b/>
          <w:bCs/>
        </w:rPr>
        <w:br w:type="page"/>
      </w:r>
    </w:p>
    <w:p w14:paraId="7BFC59E6">
      <w:pPr>
        <w:spacing w:line="600" w:lineRule="auto"/>
        <w:jc w:val="center"/>
        <w:rPr>
          <w:rFonts w:hint="eastAsia" w:ascii="宋体" w:hAnsi="宋体" w:eastAsia="宋体" w:cs="宋体"/>
          <w:b/>
          <w:kern w:val="0"/>
          <w:sz w:val="44"/>
          <w:szCs w:val="44"/>
        </w:rPr>
      </w:pPr>
    </w:p>
    <w:p w14:paraId="5A8FBD1B">
      <w:pPr>
        <w:spacing w:line="600" w:lineRule="auto"/>
        <w:jc w:val="center"/>
        <w:rPr>
          <w:rFonts w:hint="eastAsia" w:ascii="宋体" w:hAnsi="宋体" w:eastAsia="宋体" w:cs="宋体"/>
          <w:bCs/>
          <w:kern w:val="0"/>
          <w:sz w:val="32"/>
          <w:szCs w:val="32"/>
        </w:rPr>
      </w:pPr>
    </w:p>
    <w:p w14:paraId="67E49352">
      <w:pPr>
        <w:spacing w:line="60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投  标  文  件</w:t>
      </w:r>
    </w:p>
    <w:p w14:paraId="39D43700">
      <w:pPr>
        <w:spacing w:line="60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商务部分</w:t>
      </w:r>
    </w:p>
    <w:p w14:paraId="192AF925">
      <w:pPr>
        <w:spacing w:line="360" w:lineRule="auto"/>
        <w:ind w:firstLine="640" w:firstLineChars="200"/>
        <w:jc w:val="center"/>
        <w:rPr>
          <w:rFonts w:hint="eastAsia" w:ascii="宋体" w:hAnsi="宋体" w:eastAsia="宋体" w:cs="宋体"/>
          <w:kern w:val="0"/>
          <w:sz w:val="32"/>
          <w:szCs w:val="32"/>
        </w:rPr>
      </w:pPr>
    </w:p>
    <w:p w14:paraId="5045E713">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（填写正本或副本）</w:t>
      </w:r>
    </w:p>
    <w:p w14:paraId="4CE8F9E4">
      <w:pPr>
        <w:spacing w:line="360" w:lineRule="auto"/>
        <w:ind w:firstLine="480" w:firstLineChars="200"/>
        <w:jc w:val="center"/>
        <w:rPr>
          <w:rFonts w:hint="eastAsia" w:ascii="宋体" w:hAnsi="宋体" w:eastAsia="宋体" w:cs="宋体"/>
          <w:bCs/>
          <w:kern w:val="0"/>
          <w:sz w:val="24"/>
          <w:szCs w:val="24"/>
        </w:rPr>
      </w:pPr>
    </w:p>
    <w:p w14:paraId="011A186C">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p w14:paraId="0E4977E3">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项目编号：</w:t>
      </w:r>
      <w:r>
        <w:rPr>
          <w:rFonts w:hint="eastAsia" w:ascii="宋体" w:hAnsi="宋体" w:eastAsia="宋体" w:cs="宋体"/>
          <w:bCs/>
          <w:kern w:val="0"/>
          <w:sz w:val="24"/>
          <w:szCs w:val="24"/>
          <w:u w:val="single"/>
        </w:rPr>
        <w:t xml:space="preserve">               </w:t>
      </w:r>
    </w:p>
    <w:p w14:paraId="0DAB6CAA">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所投采购包：</w:t>
      </w:r>
      <w:r>
        <w:rPr>
          <w:rFonts w:hint="eastAsia" w:ascii="宋体" w:hAnsi="宋体" w:eastAsia="宋体" w:cs="宋体"/>
          <w:bCs/>
          <w:kern w:val="0"/>
          <w:sz w:val="24"/>
          <w:szCs w:val="24"/>
          <w:u w:val="single"/>
        </w:rPr>
        <w:t xml:space="preserve">             </w:t>
      </w:r>
    </w:p>
    <w:p w14:paraId="063AF1EC">
      <w:pPr>
        <w:spacing w:line="360" w:lineRule="auto"/>
        <w:ind w:left="1470" w:leftChars="700" w:firstLine="480" w:firstLineChars="200"/>
        <w:jc w:val="center"/>
        <w:rPr>
          <w:rFonts w:hint="eastAsia" w:ascii="宋体" w:hAnsi="宋体" w:eastAsia="宋体" w:cs="宋体"/>
          <w:bCs/>
          <w:kern w:val="0"/>
          <w:sz w:val="24"/>
          <w:szCs w:val="24"/>
        </w:rPr>
      </w:pPr>
    </w:p>
    <w:p w14:paraId="30B39503">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投标人：</w:t>
      </w:r>
      <w:r>
        <w:rPr>
          <w:rFonts w:hint="eastAsia" w:ascii="宋体" w:hAnsi="宋体" w:eastAsia="宋体" w:cs="宋体"/>
          <w:bCs/>
          <w:kern w:val="0"/>
          <w:sz w:val="24"/>
          <w:szCs w:val="24"/>
          <w:u w:val="single"/>
        </w:rPr>
        <w:t xml:space="preserve">                 </w:t>
      </w:r>
    </w:p>
    <w:p w14:paraId="7BA1F214">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日  期：</w:t>
      </w:r>
      <w:r>
        <w:rPr>
          <w:rFonts w:hint="eastAsia" w:ascii="宋体" w:hAnsi="宋体" w:eastAsia="宋体" w:cs="宋体"/>
          <w:bCs/>
          <w:kern w:val="0"/>
          <w:sz w:val="24"/>
          <w:szCs w:val="24"/>
          <w:u w:val="single"/>
        </w:rPr>
        <w:t xml:space="preserve">                 </w:t>
      </w:r>
    </w:p>
    <w:p w14:paraId="011DB81E">
      <w:pPr>
        <w:widowControl/>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674356B8">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格式1  授权委托书</w:t>
      </w:r>
    </w:p>
    <w:p w14:paraId="1AEA2694">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1-1法定代表人授权委托书</w:t>
      </w:r>
    </w:p>
    <w:p w14:paraId="4941FFA8">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szCs w:val="21"/>
        </w:rPr>
        <w:t>(适用于授权代表参加投标)</w:t>
      </w:r>
    </w:p>
    <w:p w14:paraId="6CAE2A8C">
      <w:pPr>
        <w:pStyle w:val="19"/>
        <w:rPr>
          <w:rFonts w:hint="eastAsia" w:hAnsi="宋体" w:cs="宋体"/>
        </w:rPr>
      </w:pPr>
    </w:p>
    <w:p w14:paraId="23961438">
      <w:pPr>
        <w:spacing w:line="360" w:lineRule="auto"/>
        <w:rPr>
          <w:rFonts w:hint="eastAsia" w:ascii="宋体" w:hAnsi="宋体" w:eastAsia="宋体" w:cs="宋体"/>
        </w:rPr>
      </w:pPr>
      <w:r>
        <w:rPr>
          <w:rFonts w:hint="eastAsia" w:ascii="宋体" w:hAnsi="宋体" w:eastAsia="宋体" w:cs="宋体"/>
        </w:rPr>
        <w:t>致____________(采购人或采购代理机构)：</w:t>
      </w:r>
    </w:p>
    <w:p w14:paraId="74854250">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szCs w:val="21"/>
          <w:u w:val="single"/>
        </w:rPr>
        <w:t xml:space="preserve">          项目</w:t>
      </w:r>
      <w:r>
        <w:rPr>
          <w:rFonts w:hint="eastAsia" w:ascii="宋体" w:hAnsi="宋体" w:eastAsia="宋体" w:cs="宋体"/>
          <w:szCs w:val="21"/>
        </w:rPr>
        <w:t>》（项目编号：_______）投标、合同的执行，以本公司名义处理一切与之有关的事务。</w:t>
      </w:r>
    </w:p>
    <w:p w14:paraId="760DBD5F">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本授权书于______年______月_____日生效，特此声明。</w:t>
      </w:r>
    </w:p>
    <w:p w14:paraId="573E758A">
      <w:pPr>
        <w:pStyle w:val="19"/>
        <w:adjustRightInd w:val="0"/>
        <w:snapToGrid w:val="0"/>
        <w:spacing w:line="360" w:lineRule="auto"/>
        <w:ind w:firstLine="420" w:firstLineChars="200"/>
        <w:rPr>
          <w:rFonts w:hint="eastAsia" w:hAnsi="宋体" w:cs="宋体"/>
        </w:rPr>
      </w:pPr>
      <w:r>
        <w:rPr>
          <w:rFonts w:hint="eastAsia" w:hAnsi="宋体" w:cs="宋体"/>
        </w:rPr>
        <w:t>被授权投标代表无转委托权。</w:t>
      </w:r>
    </w:p>
    <w:p w14:paraId="350A18ED">
      <w:pPr>
        <w:pStyle w:val="19"/>
        <w:adjustRightInd w:val="0"/>
        <w:snapToGrid w:val="0"/>
        <w:spacing w:line="360" w:lineRule="auto"/>
        <w:rPr>
          <w:rFonts w:hint="eastAsia" w:hAnsi="宋体" w:cs="宋体"/>
        </w:rPr>
      </w:pPr>
    </w:p>
    <w:tbl>
      <w:tblPr>
        <w:tblStyle w:val="29"/>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4C95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08F6B5B5">
            <w:pPr>
              <w:pStyle w:val="19"/>
              <w:adjustRightInd w:val="0"/>
              <w:snapToGrid w:val="0"/>
              <w:spacing w:line="360" w:lineRule="auto"/>
              <w:jc w:val="center"/>
              <w:rPr>
                <w:rFonts w:hint="eastAsia" w:hAnsi="宋体" w:cs="宋体"/>
              </w:rPr>
            </w:pPr>
          </w:p>
          <w:p w14:paraId="6724B89C">
            <w:pPr>
              <w:pStyle w:val="19"/>
              <w:adjustRightInd w:val="0"/>
              <w:snapToGrid w:val="0"/>
              <w:spacing w:line="360" w:lineRule="auto"/>
              <w:jc w:val="center"/>
              <w:rPr>
                <w:rFonts w:hint="eastAsia" w:hAnsi="宋体" w:cs="宋体"/>
              </w:rPr>
            </w:pPr>
          </w:p>
          <w:p w14:paraId="2854D2A3">
            <w:pPr>
              <w:pStyle w:val="19"/>
              <w:adjustRightInd w:val="0"/>
              <w:snapToGrid w:val="0"/>
              <w:spacing w:line="360" w:lineRule="auto"/>
              <w:jc w:val="center"/>
              <w:rPr>
                <w:rFonts w:hint="eastAsia" w:hAnsi="宋体" w:cs="宋体"/>
              </w:rPr>
            </w:pPr>
          </w:p>
          <w:p w14:paraId="314132AF">
            <w:pPr>
              <w:pStyle w:val="19"/>
              <w:adjustRightInd w:val="0"/>
              <w:snapToGrid w:val="0"/>
              <w:spacing w:line="360" w:lineRule="auto"/>
              <w:jc w:val="center"/>
              <w:rPr>
                <w:rFonts w:hint="eastAsia" w:hAnsi="宋体" w:cs="宋体"/>
              </w:rPr>
            </w:pPr>
            <w:r>
              <w:rPr>
                <w:rFonts w:hint="eastAsia" w:hAnsi="宋体" w:cs="宋体"/>
                <w:b/>
              </w:rPr>
              <w:t>被授权投标代表</w:t>
            </w:r>
            <w:r>
              <w:rPr>
                <w:rFonts w:hint="eastAsia" w:hAnsi="宋体" w:cs="宋体"/>
              </w:rPr>
              <w:t>身份证复印件</w:t>
            </w:r>
          </w:p>
          <w:p w14:paraId="22B263E4">
            <w:pPr>
              <w:pStyle w:val="19"/>
              <w:adjustRightInd w:val="0"/>
              <w:snapToGrid w:val="0"/>
              <w:spacing w:line="360" w:lineRule="auto"/>
              <w:jc w:val="center"/>
              <w:rPr>
                <w:rFonts w:hint="eastAsia" w:hAnsi="宋体" w:cs="宋体"/>
              </w:rPr>
            </w:pPr>
          </w:p>
          <w:p w14:paraId="3E3BB111">
            <w:pPr>
              <w:pStyle w:val="19"/>
              <w:adjustRightInd w:val="0"/>
              <w:snapToGrid w:val="0"/>
              <w:spacing w:line="360" w:lineRule="auto"/>
              <w:jc w:val="center"/>
              <w:rPr>
                <w:rFonts w:hint="eastAsia" w:hAnsi="宋体" w:cs="宋体"/>
              </w:rPr>
            </w:pPr>
          </w:p>
          <w:p w14:paraId="31C8B68C">
            <w:pPr>
              <w:pStyle w:val="19"/>
              <w:adjustRightInd w:val="0"/>
              <w:snapToGrid w:val="0"/>
              <w:spacing w:line="360" w:lineRule="auto"/>
              <w:jc w:val="center"/>
              <w:rPr>
                <w:rFonts w:hint="eastAsia" w:hAnsi="宋体" w:cs="宋体"/>
              </w:rPr>
            </w:pPr>
          </w:p>
        </w:tc>
      </w:tr>
    </w:tbl>
    <w:p w14:paraId="407CF250">
      <w:pPr>
        <w:pStyle w:val="19"/>
        <w:adjustRightInd w:val="0"/>
        <w:snapToGrid w:val="0"/>
        <w:spacing w:line="360" w:lineRule="auto"/>
        <w:jc w:val="left"/>
        <w:rPr>
          <w:rFonts w:hint="eastAsia" w:hAnsi="宋体" w:cs="宋体"/>
        </w:rPr>
      </w:pPr>
    </w:p>
    <w:p w14:paraId="3B6C141B">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投标人名称（公章）：________________</w:t>
      </w:r>
    </w:p>
    <w:p w14:paraId="2969ECF0">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法定代表人（签字或签章）：________________</w:t>
      </w:r>
    </w:p>
    <w:p w14:paraId="6B3FA758">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被授权投标代表（签字）：________________</w:t>
      </w:r>
    </w:p>
    <w:p w14:paraId="187966F9">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被授权投标代表联系电话：____________</w:t>
      </w:r>
    </w:p>
    <w:p w14:paraId="0EB04E2A">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日期：____________</w:t>
      </w:r>
    </w:p>
    <w:p w14:paraId="33F52EAB">
      <w:pPr>
        <w:topLinePunct/>
        <w:autoSpaceDE w:val="0"/>
        <w:autoSpaceDN w:val="0"/>
        <w:adjustRightInd w:val="0"/>
        <w:snapToGrid w:val="0"/>
        <w:spacing w:line="360" w:lineRule="auto"/>
        <w:jc w:val="left"/>
        <w:rPr>
          <w:rFonts w:hint="eastAsia" w:ascii="宋体" w:hAnsi="宋体" w:eastAsia="宋体" w:cs="宋体"/>
        </w:rPr>
      </w:pPr>
    </w:p>
    <w:p w14:paraId="0D629294">
      <w:pPr>
        <w:topLinePunct/>
        <w:autoSpaceDE w:val="0"/>
        <w:autoSpaceDN w:val="0"/>
        <w:adjustRightInd w:val="0"/>
        <w:snapToGrid w:val="0"/>
        <w:spacing w:line="360" w:lineRule="auto"/>
        <w:jc w:val="left"/>
        <w:rPr>
          <w:rFonts w:hint="eastAsia" w:ascii="宋体" w:hAnsi="宋体" w:eastAsia="宋体" w:cs="宋体"/>
          <w:i/>
          <w:iCs/>
        </w:rPr>
      </w:pPr>
      <w:r>
        <w:rPr>
          <w:rFonts w:hint="eastAsia" w:ascii="宋体" w:hAnsi="宋体" w:eastAsia="宋体" w:cs="宋体"/>
        </w:rPr>
        <w:t>特别说明：</w:t>
      </w:r>
    </w:p>
    <w:p w14:paraId="2A68A4B4">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1.投标人如由被授权投标代表参与投标活动的，须同时提供《法定代表人授权委托书》和被授权投标代表身份证复印件</w:t>
      </w:r>
      <w:r>
        <w:rPr>
          <w:rFonts w:hint="eastAsia" w:ascii="宋体" w:hAnsi="宋体" w:eastAsia="宋体" w:cs="宋体"/>
          <w:bCs/>
          <w:szCs w:val="21"/>
        </w:rPr>
        <w:t>（线上采购项目提供扫描件，下同）</w:t>
      </w:r>
      <w:r>
        <w:rPr>
          <w:rFonts w:hint="eastAsia" w:ascii="宋体" w:hAnsi="宋体" w:eastAsia="宋体" w:cs="宋体"/>
        </w:rPr>
        <w:t>。《法定代表人授权委托书》应当按本格式要求加盖与投标人名称全称一致的标准公章，并签署法定代表人或被授权投标代表的全名或加盖名章</w:t>
      </w:r>
      <w:r>
        <w:rPr>
          <w:rFonts w:hint="eastAsia" w:ascii="宋体" w:hAnsi="宋体" w:eastAsia="宋体" w:cs="宋体"/>
          <w:szCs w:val="21"/>
        </w:rPr>
        <w:t>。(线上采购项目应上传扫描件)</w:t>
      </w:r>
      <w:r>
        <w:rPr>
          <w:rFonts w:hint="eastAsia" w:ascii="宋体" w:hAnsi="宋体" w:eastAsia="宋体" w:cs="宋体"/>
        </w:rPr>
        <w:t>。</w:t>
      </w:r>
    </w:p>
    <w:p w14:paraId="073B134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1-2法定代表人身份证明复印件</w:t>
      </w:r>
    </w:p>
    <w:p w14:paraId="6CBD0A01">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(适用于法定代表人参加投标)</w:t>
      </w:r>
    </w:p>
    <w:p w14:paraId="4E7899DC">
      <w:pPr>
        <w:topLinePunct/>
        <w:autoSpaceDE w:val="0"/>
        <w:autoSpaceDN w:val="0"/>
        <w:adjustRightInd w:val="0"/>
        <w:snapToGrid w:val="0"/>
        <w:spacing w:line="360" w:lineRule="auto"/>
        <w:ind w:firstLine="420" w:firstLineChars="200"/>
        <w:rPr>
          <w:rFonts w:hint="eastAsia" w:ascii="宋体" w:hAnsi="宋体" w:eastAsia="宋体" w:cs="宋体"/>
        </w:rPr>
      </w:pPr>
    </w:p>
    <w:tbl>
      <w:tblPr>
        <w:tblStyle w:val="29"/>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0E88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CF6DD86">
            <w:pPr>
              <w:pStyle w:val="19"/>
              <w:adjustRightInd w:val="0"/>
              <w:snapToGrid w:val="0"/>
              <w:spacing w:line="360" w:lineRule="auto"/>
              <w:jc w:val="center"/>
              <w:rPr>
                <w:rFonts w:hint="eastAsia" w:hAnsi="宋体" w:cs="宋体"/>
              </w:rPr>
            </w:pPr>
          </w:p>
          <w:p w14:paraId="113BE0F6">
            <w:pPr>
              <w:pStyle w:val="19"/>
              <w:adjustRightInd w:val="0"/>
              <w:snapToGrid w:val="0"/>
              <w:spacing w:line="360" w:lineRule="auto"/>
              <w:jc w:val="center"/>
              <w:rPr>
                <w:rFonts w:hint="eastAsia" w:hAnsi="宋体" w:cs="宋体"/>
              </w:rPr>
            </w:pPr>
          </w:p>
          <w:p w14:paraId="24680AEC">
            <w:pPr>
              <w:pStyle w:val="19"/>
              <w:adjustRightInd w:val="0"/>
              <w:snapToGrid w:val="0"/>
              <w:spacing w:line="360" w:lineRule="auto"/>
              <w:jc w:val="center"/>
              <w:rPr>
                <w:rFonts w:hint="eastAsia" w:hAnsi="宋体" w:cs="宋体"/>
              </w:rPr>
            </w:pPr>
          </w:p>
          <w:p w14:paraId="61128091">
            <w:pPr>
              <w:pStyle w:val="19"/>
              <w:adjustRightInd w:val="0"/>
              <w:snapToGrid w:val="0"/>
              <w:spacing w:line="360" w:lineRule="auto"/>
              <w:jc w:val="center"/>
              <w:rPr>
                <w:rFonts w:hint="eastAsia" w:hAnsi="宋体" w:cs="宋体"/>
              </w:rPr>
            </w:pPr>
          </w:p>
          <w:p w14:paraId="7FA15F92">
            <w:pPr>
              <w:pStyle w:val="19"/>
              <w:adjustRightInd w:val="0"/>
              <w:snapToGrid w:val="0"/>
              <w:spacing w:line="360" w:lineRule="auto"/>
              <w:jc w:val="center"/>
              <w:rPr>
                <w:rFonts w:hint="eastAsia" w:hAnsi="宋体" w:cs="宋体"/>
              </w:rPr>
            </w:pPr>
            <w:r>
              <w:rPr>
                <w:rFonts w:hint="eastAsia" w:hAnsi="宋体" w:cs="宋体"/>
              </w:rPr>
              <w:t>法定代表人身份证明复印件</w:t>
            </w:r>
          </w:p>
          <w:p w14:paraId="60CBD3CD">
            <w:pPr>
              <w:pStyle w:val="19"/>
              <w:adjustRightInd w:val="0"/>
              <w:snapToGrid w:val="0"/>
              <w:spacing w:line="360" w:lineRule="auto"/>
              <w:jc w:val="center"/>
              <w:rPr>
                <w:rFonts w:hint="eastAsia" w:hAnsi="宋体" w:cs="宋体"/>
              </w:rPr>
            </w:pPr>
          </w:p>
          <w:p w14:paraId="4A76F128">
            <w:pPr>
              <w:pStyle w:val="19"/>
              <w:adjustRightInd w:val="0"/>
              <w:snapToGrid w:val="0"/>
              <w:spacing w:line="360" w:lineRule="auto"/>
              <w:jc w:val="center"/>
              <w:rPr>
                <w:rFonts w:hint="eastAsia" w:hAnsi="宋体" w:cs="宋体"/>
              </w:rPr>
            </w:pPr>
          </w:p>
          <w:p w14:paraId="3CB5FBB6">
            <w:pPr>
              <w:pStyle w:val="19"/>
              <w:adjustRightInd w:val="0"/>
              <w:snapToGrid w:val="0"/>
              <w:spacing w:line="360" w:lineRule="auto"/>
              <w:jc w:val="center"/>
              <w:rPr>
                <w:rFonts w:hint="eastAsia" w:hAnsi="宋体" w:cs="宋体"/>
              </w:rPr>
            </w:pPr>
          </w:p>
          <w:p w14:paraId="562BE527">
            <w:pPr>
              <w:pStyle w:val="19"/>
              <w:adjustRightInd w:val="0"/>
              <w:snapToGrid w:val="0"/>
              <w:spacing w:line="360" w:lineRule="auto"/>
              <w:jc w:val="center"/>
              <w:rPr>
                <w:rFonts w:hint="eastAsia" w:hAnsi="宋体" w:cs="宋体"/>
              </w:rPr>
            </w:pPr>
          </w:p>
        </w:tc>
      </w:tr>
    </w:tbl>
    <w:p w14:paraId="7CB1BD1A">
      <w:pPr>
        <w:topLinePunct/>
        <w:autoSpaceDE w:val="0"/>
        <w:autoSpaceDN w:val="0"/>
        <w:adjustRightInd w:val="0"/>
        <w:snapToGrid w:val="0"/>
        <w:spacing w:line="360" w:lineRule="auto"/>
        <w:jc w:val="left"/>
        <w:rPr>
          <w:rFonts w:hint="eastAsia" w:ascii="宋体" w:hAnsi="宋体" w:eastAsia="宋体" w:cs="宋体"/>
        </w:rPr>
      </w:pPr>
    </w:p>
    <w:p w14:paraId="28BC8E37">
      <w:pPr>
        <w:topLinePunct/>
        <w:autoSpaceDE w:val="0"/>
        <w:autoSpaceDN w:val="0"/>
        <w:adjustRightInd w:val="0"/>
        <w:snapToGrid w:val="0"/>
        <w:spacing w:line="360" w:lineRule="auto"/>
        <w:jc w:val="left"/>
        <w:rPr>
          <w:rFonts w:hint="eastAsia" w:ascii="宋体" w:hAnsi="宋体" w:eastAsia="宋体" w:cs="宋体"/>
          <w:i/>
          <w:iCs/>
        </w:rPr>
      </w:pPr>
      <w:r>
        <w:rPr>
          <w:rFonts w:hint="eastAsia" w:ascii="宋体" w:hAnsi="宋体" w:eastAsia="宋体" w:cs="宋体"/>
        </w:rPr>
        <w:t>特别说明：</w:t>
      </w:r>
    </w:p>
    <w:p w14:paraId="2B52AF4D">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投标人如由</w:t>
      </w:r>
      <w:r>
        <w:rPr>
          <w:rFonts w:hint="eastAsia" w:ascii="宋体" w:hAnsi="宋体" w:eastAsia="宋体" w:cs="宋体"/>
          <w:b/>
          <w:bCs/>
        </w:rPr>
        <w:t>法定代表人作为投标代表参与投标活动的，仅须提供法定代表人身份证复印件</w:t>
      </w:r>
      <w:r>
        <w:rPr>
          <w:rFonts w:hint="eastAsia" w:ascii="宋体" w:hAnsi="宋体" w:eastAsia="宋体" w:cs="宋体"/>
          <w:bCs/>
          <w:szCs w:val="21"/>
        </w:rPr>
        <w:t>（线上采购项目提供扫描件，下同）</w:t>
      </w:r>
      <w:r>
        <w:rPr>
          <w:rFonts w:hint="eastAsia" w:ascii="宋体" w:hAnsi="宋体" w:eastAsia="宋体" w:cs="宋体"/>
        </w:rPr>
        <w:t>。</w:t>
      </w:r>
    </w:p>
    <w:p w14:paraId="2838D89A">
      <w:pPr>
        <w:pStyle w:val="19"/>
        <w:ind w:firstLine="420" w:firstLineChars="200"/>
        <w:rPr>
          <w:rFonts w:hint="eastAsia" w:hAnsi="宋体" w:cs="宋体"/>
        </w:rPr>
      </w:pPr>
    </w:p>
    <w:p w14:paraId="4007A804">
      <w:pPr>
        <w:widowControl/>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6DAE7C07">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1-3自然人授权委托书</w:t>
      </w:r>
    </w:p>
    <w:p w14:paraId="767A46FF">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(适用于自然人投标)</w:t>
      </w:r>
    </w:p>
    <w:p w14:paraId="465EDC26">
      <w:pPr>
        <w:pStyle w:val="19"/>
        <w:rPr>
          <w:rFonts w:hint="eastAsia" w:hAnsi="宋体" w:cs="宋体"/>
        </w:rPr>
      </w:pPr>
    </w:p>
    <w:p w14:paraId="16679C65">
      <w:pPr>
        <w:spacing w:line="360" w:lineRule="auto"/>
        <w:rPr>
          <w:rFonts w:hint="eastAsia" w:ascii="宋体" w:hAnsi="宋体" w:eastAsia="宋体" w:cs="宋体"/>
        </w:rPr>
      </w:pPr>
      <w:r>
        <w:rPr>
          <w:rFonts w:hint="eastAsia" w:ascii="宋体" w:hAnsi="宋体" w:eastAsia="宋体" w:cs="宋体"/>
        </w:rPr>
        <w:t>致____________(采购人或采购代理机构)：</w:t>
      </w:r>
    </w:p>
    <w:p w14:paraId="03459167">
      <w:pPr>
        <w:spacing w:line="360" w:lineRule="auto"/>
        <w:ind w:firstLine="420" w:firstLineChars="200"/>
        <w:rPr>
          <w:rFonts w:hint="eastAsia" w:ascii="宋体" w:hAnsi="宋体" w:eastAsia="宋体" w:cs="宋体"/>
        </w:rPr>
      </w:pPr>
      <w:r>
        <w:rPr>
          <w:rFonts w:hint="eastAsia" w:ascii="宋体" w:hAnsi="宋体" w:eastAsia="宋体" w:cs="宋体"/>
        </w:rPr>
        <w:t>本授权书声明：我________(姓名、身份证号码)系自然人，现授权委托____________(姓名、身份证号码)以本人名义参加《</w:t>
      </w:r>
      <w:r>
        <w:rPr>
          <w:rFonts w:hint="eastAsia" w:ascii="宋体" w:hAnsi="宋体" w:eastAsia="宋体" w:cs="宋体"/>
          <w:u w:val="single"/>
        </w:rPr>
        <w:t xml:space="preserve">          </w:t>
      </w:r>
      <w:r>
        <w:rPr>
          <w:rFonts w:hint="eastAsia" w:ascii="宋体" w:hAnsi="宋体" w:eastAsia="宋体" w:cs="宋体"/>
        </w:rPr>
        <w:t>项目》（项目编号：    ）的投标活动，并代表本人全权办理针对上述项目的投标、签约等具体事务和签署相关文件。</w:t>
      </w:r>
    </w:p>
    <w:p w14:paraId="5A694D1D">
      <w:pPr>
        <w:spacing w:line="360" w:lineRule="auto"/>
        <w:ind w:firstLine="420" w:firstLineChars="200"/>
        <w:rPr>
          <w:rFonts w:hint="eastAsia" w:ascii="宋体" w:hAnsi="宋体" w:eastAsia="宋体" w:cs="宋体"/>
        </w:rPr>
      </w:pPr>
      <w:r>
        <w:rPr>
          <w:rFonts w:hint="eastAsia" w:ascii="宋体" w:hAnsi="宋体" w:eastAsia="宋体" w:cs="宋体"/>
        </w:rPr>
        <w:t>本人对被授权人的签字事项负全部责任。</w:t>
      </w:r>
    </w:p>
    <w:p w14:paraId="33B70D10">
      <w:pPr>
        <w:spacing w:line="360" w:lineRule="auto"/>
        <w:ind w:firstLine="420" w:firstLineChars="200"/>
        <w:rPr>
          <w:rFonts w:hint="eastAsia" w:ascii="宋体" w:hAnsi="宋体" w:eastAsia="宋体" w:cs="宋体"/>
        </w:rPr>
      </w:pPr>
      <w:r>
        <w:rPr>
          <w:rFonts w:hint="eastAsia" w:ascii="宋体" w:hAnsi="宋体" w:eastAsia="宋体" w:cs="宋体"/>
        </w:rPr>
        <w:t>授权委托代理期限：</w:t>
      </w:r>
      <w:r>
        <w:rPr>
          <w:rFonts w:hint="eastAsia" w:ascii="宋体" w:hAnsi="宋体" w:eastAsia="宋体" w:cs="宋体"/>
          <w:u w:val="single"/>
        </w:rPr>
        <w:t>从　　年　　月　　日起至　　年　　月　　日止</w:t>
      </w:r>
      <w:r>
        <w:rPr>
          <w:rFonts w:hint="eastAsia" w:ascii="宋体" w:hAnsi="宋体" w:eastAsia="宋体" w:cs="宋体"/>
        </w:rPr>
        <w:t>。</w:t>
      </w:r>
    </w:p>
    <w:p w14:paraId="23D76811">
      <w:pPr>
        <w:spacing w:line="360" w:lineRule="auto"/>
        <w:ind w:firstLine="420" w:firstLineChars="200"/>
        <w:rPr>
          <w:rFonts w:hint="eastAsia" w:ascii="宋体" w:hAnsi="宋体" w:eastAsia="宋体" w:cs="宋体"/>
        </w:rPr>
      </w:pPr>
    </w:p>
    <w:p w14:paraId="78D5F24F">
      <w:pPr>
        <w:spacing w:line="360" w:lineRule="auto"/>
        <w:ind w:firstLine="420" w:firstLineChars="200"/>
        <w:rPr>
          <w:rFonts w:hint="eastAsia" w:ascii="宋体" w:hAnsi="宋体" w:eastAsia="宋体" w:cs="宋体"/>
        </w:rPr>
      </w:pPr>
      <w:r>
        <w:rPr>
          <w:rFonts w:hint="eastAsia" w:ascii="宋体" w:hAnsi="宋体" w:eastAsia="宋体" w:cs="宋体"/>
        </w:rPr>
        <w:t>代理人无转委托权，特此委托。</w:t>
      </w:r>
    </w:p>
    <w:p w14:paraId="779EA9AB">
      <w:pPr>
        <w:spacing w:line="360" w:lineRule="auto"/>
        <w:ind w:firstLine="420" w:firstLineChars="200"/>
        <w:rPr>
          <w:rFonts w:hint="eastAsia" w:ascii="宋体" w:hAnsi="宋体" w:eastAsia="宋体" w:cs="宋体"/>
        </w:rPr>
      </w:pPr>
    </w:p>
    <w:p w14:paraId="3C81C3F7">
      <w:pPr>
        <w:spacing w:line="360" w:lineRule="auto"/>
        <w:ind w:firstLine="420" w:firstLineChars="200"/>
        <w:rPr>
          <w:rFonts w:hint="eastAsia" w:ascii="宋体" w:hAnsi="宋体" w:eastAsia="宋体" w:cs="宋体"/>
        </w:rPr>
      </w:pPr>
      <w:r>
        <w:rPr>
          <w:rFonts w:hint="eastAsia" w:ascii="宋体" w:hAnsi="宋体" w:eastAsia="宋体" w:cs="宋体"/>
        </w:rPr>
        <w:t>我已在下面签字，以资证明。</w:t>
      </w:r>
    </w:p>
    <w:p w14:paraId="4F2E80A7">
      <w:pPr>
        <w:spacing w:line="360" w:lineRule="auto"/>
        <w:ind w:firstLine="420" w:firstLineChars="200"/>
        <w:rPr>
          <w:rFonts w:hint="eastAsia" w:ascii="宋体" w:hAnsi="宋体" w:eastAsia="宋体" w:cs="宋体"/>
        </w:rPr>
      </w:pPr>
    </w:p>
    <w:p w14:paraId="787DDB90">
      <w:pPr>
        <w:spacing w:line="360" w:lineRule="auto"/>
        <w:ind w:firstLine="420" w:firstLineChars="200"/>
        <w:rPr>
          <w:rFonts w:hint="eastAsia" w:ascii="宋体" w:hAnsi="宋体" w:eastAsia="宋体" w:cs="宋体"/>
        </w:rPr>
      </w:pPr>
      <w:r>
        <w:rPr>
          <w:rFonts w:hint="eastAsia" w:ascii="宋体" w:hAnsi="宋体" w:eastAsia="宋体" w:cs="宋体"/>
        </w:rPr>
        <w:t>自然人签字并在签名处加盖食指指印：</w:t>
      </w:r>
      <w:r>
        <w:rPr>
          <w:rFonts w:hint="eastAsia" w:ascii="宋体" w:hAnsi="宋体" w:eastAsia="宋体" w:cs="宋体"/>
          <w:u w:val="single"/>
        </w:rPr>
        <w:t>　　　　年　　月　　日</w:t>
      </w:r>
    </w:p>
    <w:p w14:paraId="4B63D8E8">
      <w:pPr>
        <w:pStyle w:val="19"/>
        <w:spacing w:line="360" w:lineRule="auto"/>
        <w:ind w:firstLine="480" w:firstLineChars="200"/>
        <w:rPr>
          <w:rFonts w:hint="eastAsia" w:hAnsi="宋体" w:cs="宋体"/>
          <w:sz w:val="24"/>
          <w:szCs w:val="24"/>
        </w:rPr>
      </w:pPr>
    </w:p>
    <w:p w14:paraId="5E8A1EAD">
      <w:pPr>
        <w:topLinePunct/>
        <w:autoSpaceDE w:val="0"/>
        <w:autoSpaceDN w:val="0"/>
        <w:adjustRightInd w:val="0"/>
        <w:snapToGrid w:val="0"/>
        <w:spacing w:line="360" w:lineRule="auto"/>
        <w:jc w:val="left"/>
        <w:rPr>
          <w:rFonts w:hint="eastAsia" w:ascii="宋体" w:hAnsi="宋体" w:eastAsia="宋体" w:cs="宋体"/>
        </w:rPr>
      </w:pPr>
    </w:p>
    <w:p w14:paraId="0DC8A31A">
      <w:pPr>
        <w:topLinePunct/>
        <w:autoSpaceDE w:val="0"/>
        <w:autoSpaceDN w:val="0"/>
        <w:adjustRightInd w:val="0"/>
        <w:snapToGrid w:val="0"/>
        <w:spacing w:line="360" w:lineRule="auto"/>
        <w:jc w:val="left"/>
        <w:rPr>
          <w:rFonts w:hint="eastAsia" w:ascii="宋体" w:hAnsi="宋体" w:eastAsia="宋体" w:cs="宋体"/>
          <w:i/>
          <w:iCs/>
        </w:rPr>
      </w:pPr>
      <w:r>
        <w:rPr>
          <w:rFonts w:hint="eastAsia" w:ascii="宋体" w:hAnsi="宋体" w:eastAsia="宋体" w:cs="宋体"/>
        </w:rPr>
        <w:t>特别说明：</w:t>
      </w:r>
    </w:p>
    <w:p w14:paraId="57EEEE96">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投标人如由</w:t>
      </w:r>
      <w:r>
        <w:rPr>
          <w:rFonts w:hint="eastAsia" w:ascii="宋体" w:hAnsi="宋体" w:eastAsia="宋体" w:cs="宋体"/>
          <w:b/>
          <w:bCs/>
        </w:rPr>
        <w:t>被授权人参与投标活动的，</w:t>
      </w:r>
      <w:r>
        <w:rPr>
          <w:rFonts w:hint="eastAsia" w:ascii="宋体" w:hAnsi="宋体" w:eastAsia="宋体" w:cs="宋体"/>
        </w:rPr>
        <w:t>须提供《自然人授权委托书》，《自然人授权委托书》应当按本格式要求签字并由自然人在签名处加盖食指指印</w:t>
      </w:r>
      <w:r>
        <w:rPr>
          <w:rFonts w:hint="eastAsia" w:ascii="宋体" w:hAnsi="宋体" w:eastAsia="宋体" w:cs="宋体"/>
          <w:szCs w:val="21"/>
        </w:rPr>
        <w:t>。</w:t>
      </w:r>
    </w:p>
    <w:p w14:paraId="1D4FEBAC">
      <w:pPr>
        <w:pStyle w:val="19"/>
        <w:spacing w:line="360" w:lineRule="auto"/>
        <w:ind w:firstLine="480" w:firstLineChars="200"/>
        <w:rPr>
          <w:rFonts w:hint="eastAsia" w:hAnsi="宋体" w:cs="宋体"/>
          <w:sz w:val="24"/>
          <w:szCs w:val="24"/>
        </w:rPr>
      </w:pPr>
    </w:p>
    <w:p w14:paraId="7BEA258E">
      <w:pPr>
        <w:pStyle w:val="19"/>
        <w:ind w:firstLine="420" w:firstLineChars="200"/>
        <w:rPr>
          <w:rFonts w:hint="eastAsia" w:hAnsi="宋体" w:cs="宋体"/>
          <w:b/>
          <w:bCs/>
          <w:sz w:val="36"/>
          <w:szCs w:val="36"/>
        </w:rPr>
      </w:pPr>
      <w:r>
        <w:rPr>
          <w:rFonts w:hint="eastAsia" w:hAnsi="宋体" w:cs="宋体"/>
        </w:rPr>
        <w:br w:type="page"/>
      </w:r>
    </w:p>
    <w:p w14:paraId="24DDE83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格式2  投标函</w:t>
      </w:r>
    </w:p>
    <w:p w14:paraId="03128B3A">
      <w:pPr>
        <w:spacing w:line="360" w:lineRule="auto"/>
        <w:rPr>
          <w:rFonts w:hint="eastAsia" w:ascii="宋体" w:hAnsi="宋体" w:eastAsia="宋体" w:cs="宋体"/>
        </w:rPr>
      </w:pPr>
      <w:r>
        <w:rPr>
          <w:rFonts w:hint="eastAsia" w:ascii="宋体" w:hAnsi="宋体" w:eastAsia="宋体" w:cs="宋体"/>
        </w:rPr>
        <w:t>致________（采购人或采购代理机构）：</w:t>
      </w:r>
    </w:p>
    <w:p w14:paraId="27D9E3E3">
      <w:pPr>
        <w:spacing w:line="360" w:lineRule="auto"/>
        <w:ind w:firstLine="420" w:firstLineChars="200"/>
        <w:rPr>
          <w:rFonts w:hint="eastAsia" w:ascii="宋体" w:hAnsi="宋体" w:eastAsia="宋体" w:cs="宋体"/>
        </w:rPr>
      </w:pPr>
      <w:r>
        <w:rPr>
          <w:rFonts w:hint="eastAsia" w:ascii="宋体" w:hAnsi="宋体" w:eastAsia="宋体" w:cs="宋体"/>
        </w:rPr>
        <w:t>根据______（项目名称）（项目编号：______）的招标公告，______（姓名、职务）代表投标人______（投标人名称、地址）参加项目招标的有关活动。据此函，作如下承诺：</w:t>
      </w:r>
    </w:p>
    <w:p w14:paraId="2E9F7211">
      <w:pPr>
        <w:spacing w:line="360" w:lineRule="auto"/>
        <w:ind w:firstLine="420" w:firstLineChars="200"/>
        <w:rPr>
          <w:rFonts w:hint="eastAsia" w:ascii="宋体" w:hAnsi="宋体" w:eastAsia="宋体" w:cs="宋体"/>
        </w:rPr>
      </w:pPr>
      <w:r>
        <w:rPr>
          <w:rFonts w:hint="eastAsia" w:ascii="宋体" w:hAnsi="宋体" w:eastAsia="宋体" w:cs="宋体"/>
        </w:rPr>
        <w:t>1.同意在本项目招标文件中规定的开标日起    天遵守本投标文件中的承诺，且在期满之前均具有约束力。</w:t>
      </w:r>
    </w:p>
    <w:p w14:paraId="55744928">
      <w:pPr>
        <w:spacing w:line="360" w:lineRule="auto"/>
        <w:ind w:firstLine="420" w:firstLineChars="200"/>
        <w:rPr>
          <w:rFonts w:hint="eastAsia" w:ascii="宋体" w:hAnsi="宋体" w:eastAsia="宋体" w:cs="宋体"/>
        </w:rPr>
      </w:pPr>
      <w:r>
        <w:rPr>
          <w:rFonts w:hint="eastAsia" w:ascii="宋体" w:hAnsi="宋体" w:eastAsia="宋体" w:cs="宋体"/>
        </w:rPr>
        <w:t>2.具备政府采购相关法律法规规定的参加政府采购活动的供应商应当具备的条件：</w:t>
      </w:r>
    </w:p>
    <w:p w14:paraId="2836FD0F">
      <w:pPr>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14:paraId="56C2C3B9">
      <w:pPr>
        <w:spacing w:line="360" w:lineRule="auto"/>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14:paraId="3A79A4DD">
      <w:pPr>
        <w:spacing w:line="360" w:lineRule="auto"/>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14:paraId="175282C4">
      <w:pPr>
        <w:spacing w:line="360" w:lineRule="auto"/>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14:paraId="235C3235">
      <w:pPr>
        <w:spacing w:line="360" w:lineRule="auto"/>
        <w:ind w:firstLine="420" w:firstLineChars="200"/>
        <w:rPr>
          <w:rFonts w:hint="eastAsia" w:ascii="宋体" w:hAnsi="宋体" w:eastAsia="宋体" w:cs="宋体"/>
        </w:rPr>
      </w:pPr>
      <w:r>
        <w:rPr>
          <w:rFonts w:hint="eastAsia" w:ascii="宋体" w:hAnsi="宋体" w:eastAsia="宋体" w:cs="宋体"/>
        </w:rPr>
        <w:t>（5）参加此项采购活动前三年内，在经营活动中没有重大违法记录。</w:t>
      </w:r>
    </w:p>
    <w:p w14:paraId="73250DAD">
      <w:pPr>
        <w:spacing w:line="360" w:lineRule="auto"/>
        <w:ind w:firstLine="420" w:firstLineChars="200"/>
        <w:rPr>
          <w:rFonts w:hint="eastAsia" w:ascii="宋体" w:hAnsi="宋体" w:eastAsia="宋体" w:cs="宋体"/>
        </w:rPr>
      </w:pPr>
      <w:r>
        <w:rPr>
          <w:rFonts w:hint="eastAsia" w:ascii="宋体" w:hAnsi="宋体" w:eastAsia="宋体" w:cs="宋体"/>
        </w:rPr>
        <w:t xml:space="preserve">（6）法律、行政法规规定的其他条件。 </w:t>
      </w:r>
    </w:p>
    <w:p w14:paraId="4FFA25F0">
      <w:pPr>
        <w:spacing w:line="360" w:lineRule="auto"/>
        <w:ind w:firstLine="420" w:firstLineChars="200"/>
        <w:rPr>
          <w:rFonts w:hint="eastAsia" w:ascii="宋体" w:hAnsi="宋体" w:eastAsia="宋体" w:cs="宋体"/>
        </w:rPr>
      </w:pPr>
      <w:r>
        <w:rPr>
          <w:rFonts w:hint="eastAsia" w:ascii="宋体" w:hAnsi="宋体" w:eastAsia="宋体" w:cs="宋体"/>
        </w:rPr>
        <w:t>3.具备本项目招标文件中规定的其他要求和资质条件。</w:t>
      </w:r>
    </w:p>
    <w:p w14:paraId="2ED41A3E">
      <w:pPr>
        <w:spacing w:line="360" w:lineRule="auto"/>
        <w:ind w:firstLine="420" w:firstLineChars="200"/>
        <w:rPr>
          <w:rFonts w:hint="eastAsia" w:ascii="宋体" w:hAnsi="宋体" w:eastAsia="宋体" w:cs="宋体"/>
        </w:rPr>
      </w:pPr>
      <w:r>
        <w:rPr>
          <w:rFonts w:hint="eastAsia" w:ascii="宋体" w:hAnsi="宋体" w:eastAsia="宋体" w:cs="宋体"/>
        </w:rPr>
        <w:t>4.提供投标人须知规定的全部投标文件。</w:t>
      </w:r>
    </w:p>
    <w:p w14:paraId="7C2693F3">
      <w:pPr>
        <w:spacing w:line="360" w:lineRule="auto"/>
        <w:ind w:firstLine="420" w:firstLineChars="200"/>
        <w:rPr>
          <w:rFonts w:hint="eastAsia" w:ascii="宋体" w:hAnsi="宋体" w:eastAsia="宋体" w:cs="宋体"/>
        </w:rPr>
      </w:pPr>
      <w:r>
        <w:rPr>
          <w:rFonts w:hint="eastAsia" w:ascii="宋体" w:hAnsi="宋体" w:eastAsia="宋体" w:cs="宋体"/>
        </w:rPr>
        <w:t>5.已详细审阅全部招标文件（包括招标文件澄清函），理解投标人须知的所有条款。</w:t>
      </w:r>
    </w:p>
    <w:p w14:paraId="03F00C5E">
      <w:pPr>
        <w:spacing w:line="360" w:lineRule="auto"/>
        <w:ind w:firstLine="420" w:firstLineChars="200"/>
        <w:rPr>
          <w:rFonts w:hint="eastAsia" w:ascii="宋体" w:hAnsi="宋体" w:eastAsia="宋体" w:cs="宋体"/>
        </w:rPr>
      </w:pPr>
      <w:r>
        <w:rPr>
          <w:rFonts w:hint="eastAsia" w:ascii="宋体" w:hAnsi="宋体" w:eastAsia="宋体" w:cs="宋体"/>
        </w:rPr>
        <w:t>6.完全理解贵方“最低报价不能作为中标的保证”的规定。</w:t>
      </w:r>
    </w:p>
    <w:p w14:paraId="53F89A47">
      <w:pPr>
        <w:spacing w:line="360" w:lineRule="auto"/>
        <w:ind w:firstLine="420" w:firstLineChars="200"/>
        <w:rPr>
          <w:rFonts w:hint="eastAsia" w:ascii="宋体" w:hAnsi="宋体" w:eastAsia="宋体" w:cs="宋体"/>
        </w:rPr>
      </w:pPr>
      <w:r>
        <w:rPr>
          <w:rFonts w:hint="eastAsia" w:ascii="宋体" w:hAnsi="宋体" w:eastAsia="宋体" w:cs="宋体"/>
        </w:rPr>
        <w:t>7.接受招标文件中全部合同条款，且无任何异议；保证忠实地执行双方所签订的合同，并承担合同规定的责任和义务。</w:t>
      </w:r>
    </w:p>
    <w:p w14:paraId="16D115D2">
      <w:pPr>
        <w:spacing w:line="360" w:lineRule="auto"/>
        <w:ind w:firstLine="420" w:firstLineChars="200"/>
        <w:rPr>
          <w:rFonts w:hint="eastAsia" w:ascii="宋体" w:hAnsi="宋体" w:eastAsia="宋体" w:cs="宋体"/>
        </w:rPr>
      </w:pPr>
      <w:r>
        <w:rPr>
          <w:rFonts w:hint="eastAsia" w:ascii="宋体" w:hAnsi="宋体" w:eastAsia="宋体" w:cs="宋体"/>
        </w:rPr>
        <w:t>8.完全满足和响应招标文件中的各项商务和技术要求，若有偏差，已在投标文件中明确说明。</w:t>
      </w:r>
    </w:p>
    <w:p w14:paraId="2FCBC5A7">
      <w:pPr>
        <w:spacing w:line="360" w:lineRule="auto"/>
        <w:ind w:firstLine="420" w:firstLineChars="200"/>
        <w:rPr>
          <w:rFonts w:hint="eastAsia" w:ascii="宋体" w:hAnsi="宋体" w:eastAsia="宋体" w:cs="宋体"/>
        </w:rPr>
      </w:pPr>
      <w:r>
        <w:rPr>
          <w:rFonts w:hint="eastAsia" w:ascii="宋体" w:hAnsi="宋体" w:eastAsia="宋体" w:cs="宋体"/>
        </w:rPr>
        <w:t>9.愿意提供任何与投标有关的数据、情况和技术资料等。若贵方需要，愿意提供一切证明材料。</w:t>
      </w:r>
    </w:p>
    <w:p w14:paraId="6B40ED0A">
      <w:pPr>
        <w:spacing w:line="360" w:lineRule="auto"/>
        <w:ind w:firstLine="420" w:firstLineChars="200"/>
        <w:rPr>
          <w:rFonts w:hint="eastAsia" w:ascii="宋体" w:hAnsi="宋体" w:eastAsia="宋体" w:cs="宋体"/>
        </w:rPr>
      </w:pPr>
      <w:r>
        <w:rPr>
          <w:rFonts w:hint="eastAsia" w:ascii="宋体" w:hAnsi="宋体" w:eastAsia="宋体" w:cs="宋体"/>
        </w:rPr>
        <w:t>10.我方已详细审核全部投标文件、参考资料及有关附件，确认无误。</w:t>
      </w:r>
    </w:p>
    <w:p w14:paraId="536CE689">
      <w:pPr>
        <w:spacing w:line="360" w:lineRule="auto"/>
        <w:ind w:firstLine="420" w:firstLineChars="200"/>
        <w:rPr>
          <w:rFonts w:hint="eastAsia" w:ascii="宋体" w:hAnsi="宋体" w:eastAsia="宋体" w:cs="宋体"/>
        </w:rPr>
      </w:pPr>
      <w:r>
        <w:rPr>
          <w:rFonts w:hint="eastAsia" w:ascii="宋体" w:hAnsi="宋体" w:eastAsia="宋体" w:cs="宋体"/>
        </w:rPr>
        <w:t>11.对本次招标内容及与本项目有关的知识产权、技术资料、商业秘密及相关信息保密。</w:t>
      </w:r>
    </w:p>
    <w:p w14:paraId="4A8A751B">
      <w:pPr>
        <w:spacing w:line="360" w:lineRule="auto"/>
        <w:ind w:firstLine="420" w:firstLineChars="200"/>
        <w:rPr>
          <w:rFonts w:hint="eastAsia" w:ascii="宋体" w:hAnsi="宋体" w:eastAsia="宋体" w:cs="宋体"/>
        </w:rPr>
      </w:pPr>
    </w:p>
    <w:p w14:paraId="18159528">
      <w:pPr>
        <w:spacing w:line="360" w:lineRule="auto"/>
        <w:ind w:firstLine="420" w:firstLineChars="200"/>
        <w:rPr>
          <w:rFonts w:hint="eastAsia" w:ascii="宋体" w:hAnsi="宋体" w:eastAsia="宋体" w:cs="宋体"/>
        </w:rPr>
      </w:pPr>
      <w:r>
        <w:rPr>
          <w:rFonts w:hint="eastAsia" w:ascii="宋体" w:hAnsi="宋体" w:eastAsia="宋体" w:cs="宋体"/>
        </w:rPr>
        <w:t>投标人名称（公章）：____________</w:t>
      </w:r>
    </w:p>
    <w:p w14:paraId="6CA25EAF">
      <w:pPr>
        <w:spacing w:line="360" w:lineRule="auto"/>
        <w:ind w:firstLine="420" w:firstLineChars="200"/>
        <w:rPr>
          <w:rFonts w:hint="eastAsia" w:ascii="宋体" w:hAnsi="宋体" w:eastAsia="宋体" w:cs="宋体"/>
        </w:rPr>
      </w:pPr>
      <w:r>
        <w:rPr>
          <w:rFonts w:hint="eastAsia" w:ascii="宋体" w:hAnsi="宋体" w:eastAsia="宋体" w:cs="宋体"/>
        </w:rPr>
        <w:t>法定代表人（签字或签章）/被授权投标代表（签字）：____________</w:t>
      </w:r>
    </w:p>
    <w:p w14:paraId="1E4D96F5">
      <w:pPr>
        <w:spacing w:line="360" w:lineRule="auto"/>
        <w:ind w:firstLine="420" w:firstLineChars="200"/>
        <w:rPr>
          <w:rFonts w:hint="eastAsia" w:ascii="宋体" w:hAnsi="宋体" w:eastAsia="宋体" w:cs="宋体"/>
        </w:rPr>
      </w:pPr>
      <w:r>
        <w:rPr>
          <w:rFonts w:hint="eastAsia" w:ascii="宋体" w:hAnsi="宋体" w:eastAsia="宋体" w:cs="宋体"/>
        </w:rPr>
        <w:t>投标人地址：____________</w:t>
      </w:r>
    </w:p>
    <w:p w14:paraId="6682C85D">
      <w:pPr>
        <w:spacing w:line="360" w:lineRule="auto"/>
        <w:ind w:firstLine="420" w:firstLineChars="200"/>
        <w:rPr>
          <w:rFonts w:hint="eastAsia" w:ascii="宋体" w:hAnsi="宋体" w:eastAsia="宋体" w:cs="宋体"/>
        </w:rPr>
      </w:pPr>
      <w:r>
        <w:rPr>
          <w:rFonts w:hint="eastAsia" w:ascii="宋体" w:hAnsi="宋体" w:eastAsia="宋体" w:cs="宋体"/>
        </w:rPr>
        <w:t>邮编：____________</w:t>
      </w:r>
    </w:p>
    <w:p w14:paraId="15C0DCCC">
      <w:pPr>
        <w:spacing w:line="360" w:lineRule="auto"/>
        <w:ind w:firstLine="420" w:firstLineChars="200"/>
        <w:rPr>
          <w:rFonts w:hint="eastAsia" w:ascii="宋体" w:hAnsi="宋体" w:eastAsia="宋体" w:cs="宋体"/>
        </w:rPr>
      </w:pPr>
      <w:r>
        <w:rPr>
          <w:rFonts w:hint="eastAsia" w:ascii="宋体" w:hAnsi="宋体" w:eastAsia="宋体" w:cs="宋体"/>
        </w:rPr>
        <w:t>电话：____________</w:t>
      </w:r>
    </w:p>
    <w:p w14:paraId="6C1DE8E9">
      <w:pPr>
        <w:spacing w:line="360" w:lineRule="auto"/>
        <w:ind w:firstLine="420" w:firstLineChars="200"/>
        <w:rPr>
          <w:rFonts w:hint="eastAsia" w:ascii="宋体" w:hAnsi="宋体" w:eastAsia="宋体" w:cs="宋体"/>
        </w:rPr>
      </w:pPr>
      <w:r>
        <w:rPr>
          <w:rFonts w:hint="eastAsia" w:ascii="宋体" w:hAnsi="宋体" w:eastAsia="宋体" w:cs="宋体"/>
        </w:rPr>
        <w:t>传真：____________</w:t>
      </w:r>
    </w:p>
    <w:p w14:paraId="0DABD7AF">
      <w:pPr>
        <w:spacing w:line="360" w:lineRule="auto"/>
        <w:ind w:firstLine="420" w:firstLineChars="200"/>
        <w:rPr>
          <w:rFonts w:hint="eastAsia" w:ascii="宋体" w:hAnsi="宋体" w:eastAsia="宋体" w:cs="宋体"/>
        </w:rPr>
      </w:pPr>
      <w:r>
        <w:rPr>
          <w:rFonts w:hint="eastAsia" w:ascii="宋体" w:hAnsi="宋体" w:eastAsia="宋体" w:cs="宋体"/>
        </w:rPr>
        <w:t xml:space="preserve">日  期：____________          </w:t>
      </w:r>
    </w:p>
    <w:p w14:paraId="136E03A1">
      <w:pPr>
        <w:spacing w:line="360" w:lineRule="auto"/>
        <w:ind w:firstLine="420" w:firstLineChars="200"/>
        <w:rPr>
          <w:rFonts w:hint="eastAsia" w:ascii="宋体" w:hAnsi="宋体" w:eastAsia="宋体" w:cs="宋体"/>
        </w:rPr>
      </w:pPr>
    </w:p>
    <w:p w14:paraId="4F0309B8">
      <w:pPr>
        <w:ind w:firstLine="480" w:firstLineChars="200"/>
        <w:rPr>
          <w:rFonts w:hint="eastAsia" w:ascii="宋体" w:hAnsi="宋体" w:eastAsia="宋体" w:cs="宋体"/>
          <w:sz w:val="24"/>
        </w:rPr>
      </w:pPr>
    </w:p>
    <w:p w14:paraId="3B664A30">
      <w:pPr>
        <w:adjustRightInd w:val="0"/>
        <w:snapToGrid w:val="0"/>
        <w:spacing w:line="360" w:lineRule="auto"/>
        <w:rPr>
          <w:rFonts w:hint="eastAsia" w:ascii="宋体" w:hAnsi="宋体" w:eastAsia="宋体" w:cs="宋体"/>
        </w:rPr>
      </w:pPr>
      <w:r>
        <w:rPr>
          <w:rFonts w:hint="eastAsia" w:ascii="宋体" w:hAnsi="宋体" w:eastAsia="宋体" w:cs="宋体"/>
        </w:rPr>
        <w:t>特别说明：</w:t>
      </w:r>
    </w:p>
    <w:p w14:paraId="69995B01">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投标人应当按上述格式要求加盖与投标人名称全称一致的标准公章，并签署法定代表人或</w:t>
      </w:r>
      <w:r>
        <w:rPr>
          <w:rFonts w:hint="eastAsia" w:ascii="宋体" w:hAnsi="宋体" w:eastAsia="宋体" w:cs="宋体"/>
          <w:bCs/>
          <w:szCs w:val="21"/>
        </w:rPr>
        <w:t>被授权投标代表</w:t>
      </w:r>
      <w:r>
        <w:rPr>
          <w:rFonts w:hint="eastAsia" w:ascii="宋体" w:hAnsi="宋体" w:eastAsia="宋体" w:cs="宋体"/>
          <w:szCs w:val="21"/>
        </w:rPr>
        <w:t>的全名或加盖名章，线上采购项目应上传扫描件。</w:t>
      </w:r>
    </w:p>
    <w:p w14:paraId="2A211BC0">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br w:type="page"/>
      </w:r>
      <w:bookmarkStart w:id="35" w:name="_Toc18153"/>
      <w:bookmarkStart w:id="36" w:name="_Toc8860"/>
      <w:r>
        <w:rPr>
          <w:rFonts w:hint="eastAsia" w:ascii="宋体" w:hAnsi="宋体" w:eastAsia="宋体" w:cs="宋体"/>
          <w:b/>
          <w:bCs/>
          <w:sz w:val="28"/>
          <w:szCs w:val="28"/>
        </w:rPr>
        <w:t>格式3  投标报价表</w:t>
      </w:r>
    </w:p>
    <w:bookmarkEnd w:id="35"/>
    <w:bookmarkEnd w:id="36"/>
    <w:p w14:paraId="467E71A3">
      <w:pPr>
        <w:tabs>
          <w:tab w:val="left" w:pos="1230"/>
        </w:tabs>
        <w:topLinePunct/>
        <w:autoSpaceDE w:val="0"/>
        <w:autoSpaceDN w:val="0"/>
        <w:adjustRightInd w:val="0"/>
        <w:snapToGrid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1.开标一览表（总报价表）</w:t>
      </w:r>
    </w:p>
    <w:p w14:paraId="5C0C6F7D">
      <w:pPr>
        <w:pStyle w:val="19"/>
        <w:topLinePunct/>
        <w:autoSpaceDE w:val="0"/>
        <w:autoSpaceDN w:val="0"/>
        <w:adjustRightInd w:val="0"/>
        <w:snapToGrid w:val="0"/>
        <w:spacing w:line="360" w:lineRule="auto"/>
        <w:ind w:left="2"/>
        <w:jc w:val="center"/>
        <w:rPr>
          <w:rFonts w:hint="eastAsia" w:hAnsi="宋体" w:cs="宋体"/>
        </w:rPr>
      </w:pPr>
      <w:r>
        <w:rPr>
          <w:rFonts w:hint="eastAsia" w:hAnsi="宋体" w:cs="宋体"/>
        </w:rPr>
        <w:t>(服务类项目适用)</w:t>
      </w:r>
    </w:p>
    <w:p w14:paraId="2AE0DCEF">
      <w:pPr>
        <w:topLinePunct/>
        <w:autoSpaceDE w:val="0"/>
        <w:autoSpaceDN w:val="0"/>
        <w:adjustRightInd w:val="0"/>
        <w:snapToGrid w:val="0"/>
        <w:spacing w:line="360" w:lineRule="auto"/>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14:paraId="0171D564">
      <w:pPr>
        <w:adjustRightInd w:val="0"/>
        <w:snapToGrid w:val="0"/>
        <w:spacing w:line="360" w:lineRule="auto"/>
        <w:ind w:right="840"/>
        <w:rPr>
          <w:rFonts w:hint="eastAsia" w:ascii="宋体" w:hAnsi="宋体" w:eastAsia="宋体" w:cs="宋体"/>
          <w:bCs/>
          <w:w w:val="150"/>
          <w:szCs w:val="21"/>
        </w:rPr>
      </w:pPr>
      <w:r>
        <w:rPr>
          <w:rFonts w:hint="eastAsia" w:ascii="宋体" w:hAnsi="宋体" w:eastAsia="宋体" w:cs="宋体"/>
        </w:rPr>
        <w:t>采购包号：</w:t>
      </w:r>
      <w:r>
        <w:rPr>
          <w:rFonts w:hint="eastAsia" w:ascii="宋体" w:hAnsi="宋体" w:eastAsia="宋体" w:cs="宋体"/>
          <w:u w:val="single"/>
        </w:rPr>
        <w:t xml:space="preserve">         </w:t>
      </w:r>
      <w:r>
        <w:rPr>
          <w:rFonts w:hint="eastAsia" w:ascii="宋体" w:hAnsi="宋体" w:eastAsia="宋体" w:cs="宋体"/>
        </w:rPr>
        <w:t xml:space="preserve">                                  </w:t>
      </w:r>
    </w:p>
    <w:tbl>
      <w:tblPr>
        <w:tblStyle w:val="29"/>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874"/>
        <w:gridCol w:w="2553"/>
      </w:tblGrid>
      <w:tr w14:paraId="2D9F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5" w:type="dxa"/>
            <w:noWrap/>
            <w:vAlign w:val="center"/>
          </w:tcPr>
          <w:p w14:paraId="24582229">
            <w:pPr>
              <w:adjustRightInd w:val="0"/>
              <w:snapToGrid w:val="0"/>
              <w:spacing w:before="62" w:beforeLines="20" w:after="62" w:afterLines="20"/>
              <w:jc w:val="center"/>
              <w:rPr>
                <w:rFonts w:hint="eastAsia" w:ascii="宋体" w:hAnsi="宋体" w:eastAsia="宋体" w:cs="宋体"/>
                <w:b/>
                <w:szCs w:val="21"/>
              </w:rPr>
            </w:pPr>
            <w:r>
              <w:rPr>
                <w:rFonts w:hint="eastAsia" w:ascii="宋体" w:hAnsi="宋体" w:eastAsia="宋体" w:cs="宋体"/>
                <w:b/>
                <w:szCs w:val="21"/>
              </w:rPr>
              <w:t>序号</w:t>
            </w:r>
          </w:p>
        </w:tc>
        <w:tc>
          <w:tcPr>
            <w:tcW w:w="5874" w:type="dxa"/>
            <w:noWrap/>
            <w:vAlign w:val="center"/>
          </w:tcPr>
          <w:p w14:paraId="073B4A6E">
            <w:pPr>
              <w:adjustRightInd w:val="0"/>
              <w:snapToGrid w:val="0"/>
              <w:spacing w:before="62" w:beforeLines="20" w:after="62" w:afterLines="20"/>
              <w:jc w:val="center"/>
              <w:rPr>
                <w:rFonts w:hint="eastAsia" w:ascii="宋体" w:hAnsi="宋体" w:eastAsia="宋体" w:cs="宋体"/>
                <w:b/>
                <w:szCs w:val="21"/>
              </w:rPr>
            </w:pPr>
            <w:r>
              <w:rPr>
                <w:rFonts w:hint="eastAsia" w:ascii="宋体" w:hAnsi="宋体" w:eastAsia="宋体" w:cs="宋体"/>
                <w:b/>
                <w:szCs w:val="21"/>
              </w:rPr>
              <w:t>内容</w:t>
            </w:r>
          </w:p>
        </w:tc>
        <w:tc>
          <w:tcPr>
            <w:tcW w:w="2553" w:type="dxa"/>
            <w:noWrap/>
            <w:vAlign w:val="center"/>
          </w:tcPr>
          <w:p w14:paraId="0DD185A8">
            <w:pPr>
              <w:adjustRightInd w:val="0"/>
              <w:snapToGrid w:val="0"/>
              <w:spacing w:before="62" w:beforeLines="20" w:after="62" w:afterLines="20"/>
              <w:jc w:val="center"/>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val="en" w:eastAsia="de-DE"/>
              </w:rPr>
              <w:t>投标</w:t>
            </w:r>
            <w:r>
              <w:rPr>
                <w:rFonts w:hint="eastAsia" w:ascii="宋体" w:hAnsi="宋体" w:eastAsia="宋体" w:cs="宋体"/>
                <w:b/>
                <w:szCs w:val="21"/>
                <w:lang w:val="en"/>
              </w:rPr>
              <w:t>结算系数</w:t>
            </w:r>
            <w:r>
              <w:rPr>
                <w:rFonts w:hint="eastAsia" w:ascii="宋体" w:hAnsi="宋体" w:eastAsia="宋体" w:cs="宋体"/>
                <w:b/>
                <w:szCs w:val="21"/>
              </w:rPr>
              <w:t>）</w:t>
            </w:r>
          </w:p>
        </w:tc>
      </w:tr>
      <w:tr w14:paraId="2E84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5" w:type="dxa"/>
            <w:noWrap/>
            <w:vAlign w:val="center"/>
          </w:tcPr>
          <w:p w14:paraId="1113D8E8">
            <w:pPr>
              <w:adjustRightInd w:val="0"/>
              <w:snapToGrid w:val="0"/>
              <w:spacing w:before="62" w:beforeLines="20" w:after="62" w:afterLines="20"/>
              <w:jc w:val="center"/>
              <w:rPr>
                <w:rFonts w:hint="eastAsia" w:ascii="宋体" w:hAnsi="宋体" w:eastAsia="宋体" w:cs="宋体"/>
                <w:b/>
                <w:szCs w:val="21"/>
              </w:rPr>
            </w:pPr>
            <w:r>
              <w:rPr>
                <w:rFonts w:hint="eastAsia" w:ascii="宋体" w:hAnsi="宋体" w:eastAsia="宋体" w:cs="宋体"/>
                <w:szCs w:val="21"/>
              </w:rPr>
              <w:t>1</w:t>
            </w:r>
          </w:p>
        </w:tc>
        <w:tc>
          <w:tcPr>
            <w:tcW w:w="5874" w:type="dxa"/>
            <w:noWrap/>
            <w:vAlign w:val="center"/>
          </w:tcPr>
          <w:p w14:paraId="47BB96B2">
            <w:pPr>
              <w:adjustRightInd w:val="0"/>
              <w:snapToGrid w:val="0"/>
              <w:spacing w:line="360" w:lineRule="auto"/>
              <w:jc w:val="center"/>
              <w:rPr>
                <w:rFonts w:hint="eastAsia" w:ascii="宋体" w:hAnsi="宋体" w:eastAsia="宋体" w:cs="宋体"/>
                <w:szCs w:val="21"/>
              </w:rPr>
            </w:pPr>
          </w:p>
        </w:tc>
        <w:tc>
          <w:tcPr>
            <w:tcW w:w="2553" w:type="dxa"/>
            <w:noWrap/>
            <w:vAlign w:val="center"/>
          </w:tcPr>
          <w:p w14:paraId="32242876">
            <w:pPr>
              <w:adjustRightInd w:val="0"/>
              <w:snapToGrid w:val="0"/>
              <w:spacing w:before="62" w:beforeLines="20" w:after="62" w:afterLines="20"/>
              <w:jc w:val="center"/>
              <w:rPr>
                <w:rFonts w:hint="eastAsia" w:ascii="宋体" w:hAnsi="宋体" w:eastAsia="宋体" w:cs="宋体"/>
                <w:b/>
                <w:szCs w:val="21"/>
              </w:rPr>
            </w:pPr>
          </w:p>
        </w:tc>
      </w:tr>
      <w:tr w14:paraId="761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5" w:type="dxa"/>
            <w:noWrap/>
            <w:vAlign w:val="center"/>
          </w:tcPr>
          <w:p w14:paraId="08DCEDB9">
            <w:pPr>
              <w:adjustRightInd w:val="0"/>
              <w:snapToGrid w:val="0"/>
              <w:spacing w:before="62" w:beforeLines="20" w:after="62" w:afterLines="20"/>
              <w:jc w:val="center"/>
              <w:rPr>
                <w:rFonts w:hint="eastAsia" w:ascii="宋体" w:hAnsi="宋体" w:eastAsia="宋体" w:cs="宋体"/>
                <w:szCs w:val="21"/>
              </w:rPr>
            </w:pPr>
            <w:r>
              <w:rPr>
                <w:rFonts w:hint="eastAsia" w:ascii="宋体" w:hAnsi="宋体" w:eastAsia="宋体" w:cs="宋体"/>
                <w:szCs w:val="21"/>
              </w:rPr>
              <w:t>2</w:t>
            </w:r>
          </w:p>
        </w:tc>
        <w:tc>
          <w:tcPr>
            <w:tcW w:w="5874" w:type="dxa"/>
            <w:noWrap/>
            <w:vAlign w:val="center"/>
          </w:tcPr>
          <w:p w14:paraId="645C22C9">
            <w:pPr>
              <w:spacing w:line="460" w:lineRule="exact"/>
              <w:jc w:val="left"/>
              <w:rPr>
                <w:rFonts w:hint="eastAsia" w:ascii="宋体" w:hAnsi="宋体" w:eastAsia="宋体" w:cs="宋体"/>
                <w:szCs w:val="21"/>
              </w:rPr>
            </w:pPr>
          </w:p>
        </w:tc>
        <w:tc>
          <w:tcPr>
            <w:tcW w:w="2553" w:type="dxa"/>
            <w:noWrap/>
            <w:vAlign w:val="center"/>
          </w:tcPr>
          <w:p w14:paraId="79E832BC">
            <w:pPr>
              <w:adjustRightInd w:val="0"/>
              <w:snapToGrid w:val="0"/>
              <w:spacing w:before="62" w:beforeLines="20" w:after="62" w:afterLines="20"/>
              <w:jc w:val="center"/>
              <w:rPr>
                <w:rFonts w:hint="eastAsia" w:ascii="宋体" w:hAnsi="宋体" w:eastAsia="宋体" w:cs="宋体"/>
                <w:szCs w:val="21"/>
              </w:rPr>
            </w:pPr>
          </w:p>
        </w:tc>
      </w:tr>
      <w:tr w14:paraId="06C8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5" w:type="dxa"/>
            <w:noWrap/>
            <w:vAlign w:val="center"/>
          </w:tcPr>
          <w:p w14:paraId="2F28D70C">
            <w:pPr>
              <w:adjustRightInd w:val="0"/>
              <w:snapToGrid w:val="0"/>
              <w:spacing w:before="62" w:beforeLines="20" w:after="62" w:afterLines="20"/>
              <w:jc w:val="center"/>
              <w:rPr>
                <w:rFonts w:hint="eastAsia" w:ascii="宋体" w:hAnsi="宋体" w:eastAsia="宋体" w:cs="宋体"/>
                <w:szCs w:val="21"/>
              </w:rPr>
            </w:pPr>
            <w:r>
              <w:rPr>
                <w:rFonts w:hint="eastAsia" w:ascii="宋体" w:hAnsi="宋体" w:eastAsia="宋体" w:cs="宋体"/>
                <w:szCs w:val="21"/>
              </w:rPr>
              <w:t>3</w:t>
            </w:r>
          </w:p>
        </w:tc>
        <w:tc>
          <w:tcPr>
            <w:tcW w:w="5874" w:type="dxa"/>
            <w:noWrap/>
            <w:vAlign w:val="center"/>
          </w:tcPr>
          <w:p w14:paraId="0461F585">
            <w:pPr>
              <w:spacing w:line="460" w:lineRule="exact"/>
              <w:jc w:val="left"/>
              <w:rPr>
                <w:rFonts w:hint="eastAsia" w:ascii="宋体" w:hAnsi="宋体" w:eastAsia="宋体" w:cs="宋体"/>
                <w:szCs w:val="21"/>
              </w:rPr>
            </w:pPr>
          </w:p>
        </w:tc>
        <w:tc>
          <w:tcPr>
            <w:tcW w:w="2553" w:type="dxa"/>
            <w:noWrap/>
            <w:vAlign w:val="center"/>
          </w:tcPr>
          <w:p w14:paraId="156202F8">
            <w:pPr>
              <w:adjustRightInd w:val="0"/>
              <w:snapToGrid w:val="0"/>
              <w:spacing w:before="62" w:beforeLines="20" w:after="62" w:afterLines="20"/>
              <w:jc w:val="center"/>
              <w:rPr>
                <w:rFonts w:hint="eastAsia" w:ascii="宋体" w:hAnsi="宋体" w:eastAsia="宋体" w:cs="宋体"/>
                <w:szCs w:val="21"/>
              </w:rPr>
            </w:pPr>
          </w:p>
        </w:tc>
      </w:tr>
      <w:tr w14:paraId="1DB5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24DD4C70">
            <w:pPr>
              <w:adjustRightInd w:val="0"/>
              <w:snapToGrid w:val="0"/>
              <w:spacing w:before="62" w:beforeLines="20" w:after="62" w:afterLines="20"/>
              <w:jc w:val="center"/>
              <w:rPr>
                <w:rFonts w:hint="eastAsia" w:ascii="宋体" w:hAnsi="宋体" w:eastAsia="宋体" w:cs="宋体"/>
                <w:szCs w:val="21"/>
              </w:rPr>
            </w:pPr>
            <w:r>
              <w:rPr>
                <w:rFonts w:hint="eastAsia" w:ascii="宋体" w:hAnsi="宋体" w:eastAsia="宋体" w:cs="宋体"/>
                <w:szCs w:val="21"/>
              </w:rPr>
              <w:t>服务期</w:t>
            </w:r>
          </w:p>
        </w:tc>
        <w:tc>
          <w:tcPr>
            <w:tcW w:w="2553" w:type="dxa"/>
            <w:noWrap/>
            <w:vAlign w:val="center"/>
          </w:tcPr>
          <w:p w14:paraId="02A84AE2">
            <w:pPr>
              <w:adjustRightInd w:val="0"/>
              <w:snapToGrid w:val="0"/>
              <w:spacing w:before="62" w:beforeLines="20" w:after="62" w:afterLines="20"/>
              <w:jc w:val="center"/>
              <w:rPr>
                <w:rFonts w:hint="eastAsia" w:ascii="宋体" w:hAnsi="宋体" w:eastAsia="宋体" w:cs="宋体"/>
                <w:szCs w:val="21"/>
              </w:rPr>
            </w:pPr>
          </w:p>
        </w:tc>
      </w:tr>
      <w:tr w14:paraId="09AB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76B908A3">
            <w:pPr>
              <w:adjustRightInd w:val="0"/>
              <w:snapToGrid w:val="0"/>
              <w:spacing w:before="62" w:beforeLines="20" w:after="62" w:afterLines="20"/>
              <w:jc w:val="center"/>
              <w:rPr>
                <w:rFonts w:hint="eastAsia" w:ascii="宋体" w:hAnsi="宋体" w:eastAsia="宋体" w:cs="宋体"/>
                <w:szCs w:val="21"/>
              </w:rPr>
            </w:pPr>
            <w:r>
              <w:rPr>
                <w:rFonts w:hint="eastAsia" w:ascii="宋体" w:hAnsi="宋体" w:eastAsia="宋体" w:cs="宋体"/>
                <w:szCs w:val="21"/>
              </w:rPr>
              <w:t>…</w:t>
            </w:r>
          </w:p>
        </w:tc>
        <w:tc>
          <w:tcPr>
            <w:tcW w:w="2553" w:type="dxa"/>
            <w:noWrap/>
            <w:vAlign w:val="center"/>
          </w:tcPr>
          <w:p w14:paraId="1A1DAEF9">
            <w:pPr>
              <w:adjustRightInd w:val="0"/>
              <w:snapToGrid w:val="0"/>
              <w:spacing w:before="62" w:beforeLines="20" w:after="62" w:afterLines="20"/>
              <w:jc w:val="center"/>
              <w:rPr>
                <w:rFonts w:hint="eastAsia" w:ascii="宋体" w:hAnsi="宋体" w:eastAsia="宋体" w:cs="宋体"/>
                <w:szCs w:val="21"/>
              </w:rPr>
            </w:pPr>
          </w:p>
        </w:tc>
      </w:tr>
    </w:tbl>
    <w:p w14:paraId="110BCF25">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6A46FC2B">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1.本项目总价及分项报价均不接受任何形式的赠送、“零”报价。</w:t>
      </w:r>
    </w:p>
    <w:p w14:paraId="7A289578">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2.本项目执行中所发生的所有费用均计入投标报价中，采购人不再另行支付其他任何费用。</w:t>
      </w:r>
    </w:p>
    <w:p w14:paraId="33445C90">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3.投标人应根据《招标文件-技术部分》相关要求填报。</w:t>
      </w:r>
    </w:p>
    <w:p w14:paraId="4E90D8D9">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4.如报价不一致，按照投标人须知“19.核价原则”进行修正。</w:t>
      </w:r>
    </w:p>
    <w:p w14:paraId="703B91A6">
      <w:pPr>
        <w:topLinePunct/>
        <w:autoSpaceDE w:val="0"/>
        <w:autoSpaceDN w:val="0"/>
        <w:adjustRightInd w:val="0"/>
        <w:snapToGrid w:val="0"/>
        <w:spacing w:line="360" w:lineRule="auto"/>
        <w:ind w:firstLine="525" w:firstLineChars="250"/>
        <w:jc w:val="left"/>
        <w:rPr>
          <w:rFonts w:hint="eastAsia" w:ascii="宋体" w:hAnsi="宋体" w:eastAsia="宋体" w:cs="宋体"/>
        </w:rPr>
      </w:pPr>
    </w:p>
    <w:p w14:paraId="5DB0A1F6">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14:paraId="29C821A2">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565A9805">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0E594E58">
      <w:pPr>
        <w:widowControl/>
        <w:jc w:val="center"/>
        <w:rPr>
          <w:rFonts w:hint="eastAsia" w:ascii="宋体" w:hAnsi="宋体" w:eastAsia="宋体" w:cs="宋体"/>
          <w:b/>
          <w:sz w:val="28"/>
        </w:rPr>
      </w:pPr>
      <w:r>
        <w:rPr>
          <w:rFonts w:hint="eastAsia" w:ascii="宋体" w:hAnsi="宋体" w:eastAsia="宋体" w:cs="宋体"/>
          <w:szCs w:val="21"/>
        </w:rPr>
        <w:br w:type="page"/>
      </w:r>
      <w:r>
        <w:rPr>
          <w:rFonts w:hint="eastAsia" w:ascii="宋体" w:hAnsi="宋体" w:eastAsia="宋体" w:cs="宋体"/>
          <w:b/>
          <w:sz w:val="28"/>
        </w:rPr>
        <w:t>2.分项报价表</w:t>
      </w:r>
    </w:p>
    <w:p w14:paraId="2716A975">
      <w:pPr>
        <w:pStyle w:val="19"/>
        <w:topLinePunct/>
        <w:autoSpaceDE w:val="0"/>
        <w:autoSpaceDN w:val="0"/>
        <w:adjustRightInd w:val="0"/>
        <w:snapToGrid w:val="0"/>
        <w:spacing w:line="360" w:lineRule="auto"/>
        <w:ind w:left="2"/>
        <w:jc w:val="center"/>
        <w:rPr>
          <w:rFonts w:hint="eastAsia" w:hAnsi="宋体" w:cs="宋体"/>
          <w:b/>
          <w:bCs/>
        </w:rPr>
      </w:pPr>
      <w:r>
        <w:rPr>
          <w:rFonts w:hint="eastAsia" w:hAnsi="宋体" w:cs="宋体"/>
        </w:rPr>
        <w:t>（服务类项目适用)</w:t>
      </w:r>
    </w:p>
    <w:p w14:paraId="435DD067">
      <w:pPr>
        <w:topLinePunct/>
        <w:autoSpaceDE w:val="0"/>
        <w:autoSpaceDN w:val="0"/>
        <w:adjustRightInd w:val="0"/>
        <w:snapToGrid w:val="0"/>
        <w:spacing w:line="360" w:lineRule="auto"/>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14:paraId="5ED3585E">
      <w:pPr>
        <w:adjustRightInd w:val="0"/>
        <w:snapToGrid w:val="0"/>
        <w:spacing w:line="360" w:lineRule="auto"/>
        <w:ind w:right="840"/>
        <w:rPr>
          <w:rFonts w:hint="eastAsia" w:ascii="宋体" w:hAnsi="宋体" w:eastAsia="宋体" w:cs="宋体"/>
          <w:bCs/>
          <w:w w:val="150"/>
          <w:szCs w:val="21"/>
        </w:rPr>
      </w:pPr>
      <w:r>
        <w:rPr>
          <w:rFonts w:hint="eastAsia" w:ascii="宋体" w:hAnsi="宋体" w:eastAsia="宋体" w:cs="宋体"/>
        </w:rPr>
        <w:t>采购包号：</w:t>
      </w:r>
      <w:r>
        <w:rPr>
          <w:rFonts w:hint="eastAsia" w:ascii="宋体" w:hAnsi="宋体" w:eastAsia="宋体" w:cs="宋体"/>
          <w:u w:val="single"/>
        </w:rPr>
        <w:t xml:space="preserve">         </w:t>
      </w:r>
      <w:r>
        <w:rPr>
          <w:rFonts w:hint="eastAsia" w:ascii="宋体" w:hAnsi="宋体" w:eastAsia="宋体" w:cs="宋体"/>
        </w:rPr>
        <w:t xml:space="preserve">                                     价格单位：人民币   元</w:t>
      </w:r>
    </w:p>
    <w:tbl>
      <w:tblPr>
        <w:tblStyle w:val="29"/>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6BEB7682">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5E2512DD">
            <w:pPr>
              <w:widowControl/>
              <w:jc w:val="center"/>
              <w:rPr>
                <w:rFonts w:hint="eastAsia" w:ascii="宋体" w:hAnsi="宋体" w:eastAsia="宋体" w:cs="宋体"/>
                <w:b/>
                <w:szCs w:val="21"/>
              </w:rPr>
            </w:pPr>
            <w:r>
              <w:rPr>
                <w:rFonts w:hint="eastAsia" w:ascii="宋体" w:hAnsi="宋体" w:eastAsia="宋体" w:cs="宋体"/>
                <w:b/>
                <w:szCs w:val="21"/>
              </w:rPr>
              <w:t>序号</w:t>
            </w:r>
          </w:p>
        </w:tc>
        <w:tc>
          <w:tcPr>
            <w:tcW w:w="1692" w:type="dxa"/>
            <w:tcBorders>
              <w:top w:val="single" w:color="auto" w:sz="4" w:space="0"/>
              <w:left w:val="nil"/>
              <w:bottom w:val="single" w:color="auto" w:sz="4" w:space="0"/>
              <w:right w:val="single" w:color="auto" w:sz="4" w:space="0"/>
            </w:tcBorders>
            <w:vAlign w:val="center"/>
          </w:tcPr>
          <w:p w14:paraId="349F349B">
            <w:pPr>
              <w:widowControl/>
              <w:ind w:left="-84" w:leftChars="-40" w:firstLine="82" w:firstLineChars="39"/>
              <w:jc w:val="center"/>
              <w:rPr>
                <w:rFonts w:hint="eastAsia" w:ascii="宋体" w:hAnsi="宋体" w:eastAsia="宋体" w:cs="宋体"/>
                <w:b/>
                <w:szCs w:val="21"/>
              </w:rPr>
            </w:pPr>
            <w:r>
              <w:rPr>
                <w:rFonts w:hint="eastAsia" w:ascii="宋体" w:hAnsi="宋体" w:eastAsia="宋体" w:cs="宋体"/>
                <w:b/>
                <w:szCs w:val="21"/>
              </w:rPr>
              <w:t>项目名称</w:t>
            </w:r>
          </w:p>
        </w:tc>
        <w:tc>
          <w:tcPr>
            <w:tcW w:w="2332" w:type="dxa"/>
            <w:tcBorders>
              <w:top w:val="single" w:color="auto" w:sz="4" w:space="0"/>
              <w:left w:val="nil"/>
              <w:bottom w:val="single" w:color="auto" w:sz="4" w:space="0"/>
              <w:right w:val="single" w:color="auto" w:sz="4" w:space="0"/>
            </w:tcBorders>
            <w:vAlign w:val="center"/>
          </w:tcPr>
          <w:p w14:paraId="41BF2132">
            <w:pPr>
              <w:widowControl/>
              <w:jc w:val="center"/>
              <w:rPr>
                <w:rFonts w:hint="eastAsia" w:ascii="宋体" w:hAnsi="宋体" w:eastAsia="宋体" w:cs="宋体"/>
                <w:b/>
                <w:szCs w:val="21"/>
              </w:rPr>
            </w:pPr>
            <w:r>
              <w:rPr>
                <w:rFonts w:hint="eastAsia" w:ascii="宋体" w:hAnsi="宋体" w:eastAsia="宋体" w:cs="宋体"/>
                <w:b/>
                <w:szCs w:val="21"/>
              </w:rPr>
              <w:t>内容描述</w:t>
            </w:r>
          </w:p>
        </w:tc>
        <w:tc>
          <w:tcPr>
            <w:tcW w:w="1267" w:type="dxa"/>
            <w:tcBorders>
              <w:top w:val="single" w:color="auto" w:sz="4" w:space="0"/>
              <w:left w:val="single" w:color="auto" w:sz="4" w:space="0"/>
              <w:bottom w:val="single" w:color="auto" w:sz="4" w:space="0"/>
              <w:right w:val="single" w:color="auto" w:sz="4" w:space="0"/>
            </w:tcBorders>
            <w:vAlign w:val="center"/>
          </w:tcPr>
          <w:p w14:paraId="34475D50">
            <w:pPr>
              <w:widowControl/>
              <w:jc w:val="center"/>
              <w:rPr>
                <w:rFonts w:hint="eastAsia" w:ascii="宋体" w:hAnsi="宋体" w:eastAsia="宋体" w:cs="宋体"/>
                <w:b/>
                <w:szCs w:val="21"/>
              </w:rPr>
            </w:pPr>
            <w:r>
              <w:rPr>
                <w:rFonts w:hint="eastAsia" w:ascii="宋体" w:hAnsi="宋体" w:eastAsia="宋体" w:cs="宋体"/>
                <w:b/>
                <w:szCs w:val="21"/>
              </w:rPr>
              <w:t>…费用</w:t>
            </w:r>
          </w:p>
        </w:tc>
        <w:tc>
          <w:tcPr>
            <w:tcW w:w="1260" w:type="dxa"/>
            <w:tcBorders>
              <w:top w:val="single" w:color="auto" w:sz="4" w:space="0"/>
              <w:left w:val="single" w:color="auto" w:sz="4" w:space="0"/>
              <w:bottom w:val="single" w:color="auto" w:sz="4" w:space="0"/>
              <w:right w:val="single" w:color="auto" w:sz="4" w:space="0"/>
            </w:tcBorders>
            <w:vAlign w:val="center"/>
          </w:tcPr>
          <w:p w14:paraId="202DB2EA">
            <w:pPr>
              <w:widowControl/>
              <w:jc w:val="center"/>
              <w:rPr>
                <w:rFonts w:hint="eastAsia" w:ascii="宋体" w:hAnsi="宋体" w:eastAsia="宋体" w:cs="宋体"/>
                <w:b/>
                <w:szCs w:val="21"/>
              </w:rPr>
            </w:pPr>
            <w:r>
              <w:rPr>
                <w:rFonts w:hint="eastAsia" w:ascii="宋体" w:hAnsi="宋体" w:eastAsia="宋体" w:cs="宋体"/>
                <w:b/>
                <w:szCs w:val="21"/>
              </w:rPr>
              <w:t>…费用</w:t>
            </w:r>
          </w:p>
        </w:tc>
        <w:tc>
          <w:tcPr>
            <w:tcW w:w="1343" w:type="dxa"/>
            <w:tcBorders>
              <w:top w:val="single" w:color="auto" w:sz="4" w:space="0"/>
              <w:left w:val="single" w:color="auto" w:sz="4" w:space="0"/>
              <w:bottom w:val="single" w:color="auto" w:sz="4" w:space="0"/>
              <w:right w:val="single" w:color="auto" w:sz="4" w:space="0"/>
            </w:tcBorders>
            <w:vAlign w:val="center"/>
          </w:tcPr>
          <w:p w14:paraId="76B73FB4">
            <w:pPr>
              <w:widowControl/>
              <w:jc w:val="center"/>
              <w:rPr>
                <w:rFonts w:hint="eastAsia" w:ascii="宋体" w:hAnsi="宋体" w:eastAsia="宋体" w:cs="宋体"/>
                <w:b/>
                <w:szCs w:val="21"/>
              </w:rPr>
            </w:pPr>
            <w:r>
              <w:rPr>
                <w:rFonts w:hint="eastAsia" w:ascii="宋体" w:hAnsi="宋体" w:eastAsia="宋体" w:cs="宋体"/>
                <w:b/>
                <w:szCs w:val="21"/>
              </w:rPr>
              <w:t>小计</w:t>
            </w:r>
          </w:p>
          <w:p w14:paraId="7533BDED">
            <w:pPr>
              <w:widowControl/>
              <w:jc w:val="center"/>
              <w:rPr>
                <w:rFonts w:hint="eastAsia" w:ascii="宋体" w:hAnsi="宋体" w:eastAsia="宋体" w:cs="宋体"/>
                <w:b/>
                <w:szCs w:val="21"/>
              </w:rPr>
            </w:pPr>
            <w:r>
              <w:rPr>
                <w:rFonts w:hint="eastAsia" w:ascii="宋体" w:hAnsi="宋体" w:eastAsia="宋体" w:cs="宋体"/>
                <w:b/>
                <w:szCs w:val="21"/>
              </w:rPr>
              <w:t>（元）</w:t>
            </w:r>
          </w:p>
        </w:tc>
        <w:tc>
          <w:tcPr>
            <w:tcW w:w="643" w:type="dxa"/>
            <w:tcBorders>
              <w:top w:val="single" w:color="auto" w:sz="4" w:space="0"/>
              <w:left w:val="nil"/>
              <w:bottom w:val="single" w:color="auto" w:sz="4" w:space="0"/>
              <w:right w:val="single" w:color="auto" w:sz="4" w:space="0"/>
            </w:tcBorders>
            <w:vAlign w:val="center"/>
          </w:tcPr>
          <w:p w14:paraId="37152AFD">
            <w:pPr>
              <w:jc w:val="center"/>
              <w:rPr>
                <w:rFonts w:hint="eastAsia" w:ascii="宋体" w:hAnsi="宋体" w:eastAsia="宋体" w:cs="宋体"/>
                <w:b/>
                <w:szCs w:val="21"/>
              </w:rPr>
            </w:pPr>
            <w:r>
              <w:rPr>
                <w:rFonts w:hint="eastAsia" w:ascii="宋体" w:hAnsi="宋体" w:eastAsia="宋体" w:cs="宋体"/>
                <w:b/>
                <w:szCs w:val="21"/>
              </w:rPr>
              <w:t>备注</w:t>
            </w:r>
          </w:p>
        </w:tc>
      </w:tr>
      <w:tr w14:paraId="2800F50E">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63225562">
            <w:pPr>
              <w:tabs>
                <w:tab w:val="left" w:pos="425"/>
              </w:tabs>
              <w:snapToGrid w:val="0"/>
              <w:jc w:val="center"/>
              <w:rPr>
                <w:rFonts w:hint="eastAsia" w:ascii="宋体" w:hAnsi="宋体" w:eastAsia="宋体" w:cs="宋体"/>
                <w:szCs w:val="21"/>
              </w:rPr>
            </w:pPr>
            <w:r>
              <w:rPr>
                <w:rFonts w:hint="eastAsia" w:ascii="宋体" w:hAnsi="宋体" w:eastAsia="宋体" w:cs="宋体"/>
                <w:szCs w:val="21"/>
              </w:rPr>
              <w:t>1</w:t>
            </w:r>
          </w:p>
        </w:tc>
        <w:tc>
          <w:tcPr>
            <w:tcW w:w="1692" w:type="dxa"/>
            <w:tcBorders>
              <w:top w:val="single" w:color="auto" w:sz="4" w:space="0"/>
              <w:left w:val="nil"/>
              <w:bottom w:val="single" w:color="auto" w:sz="4" w:space="0"/>
              <w:right w:val="single" w:color="auto" w:sz="4" w:space="0"/>
            </w:tcBorders>
            <w:vAlign w:val="center"/>
          </w:tcPr>
          <w:p w14:paraId="2A3B456C">
            <w:pPr>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14:paraId="2C3423A4">
            <w:pPr>
              <w:tabs>
                <w:tab w:val="left" w:pos="425"/>
              </w:tabs>
              <w:snapToGrid w:val="0"/>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14:paraId="73941EC2">
            <w:pPr>
              <w:tabs>
                <w:tab w:val="left" w:pos="425"/>
              </w:tabs>
              <w:snapToGrid w:val="0"/>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87DEB31">
            <w:pPr>
              <w:tabs>
                <w:tab w:val="left" w:pos="425"/>
              </w:tabs>
              <w:snapToGrid w:val="0"/>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4D55FE3">
            <w:pPr>
              <w:tabs>
                <w:tab w:val="left" w:pos="425"/>
              </w:tabs>
              <w:snapToGrid w:val="0"/>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183EC24F">
            <w:pPr>
              <w:tabs>
                <w:tab w:val="left" w:pos="425"/>
              </w:tabs>
              <w:snapToGrid w:val="0"/>
              <w:jc w:val="center"/>
              <w:rPr>
                <w:rFonts w:hint="eastAsia" w:ascii="宋体" w:hAnsi="宋体" w:eastAsia="宋体" w:cs="宋体"/>
                <w:szCs w:val="21"/>
              </w:rPr>
            </w:pPr>
          </w:p>
        </w:tc>
      </w:tr>
      <w:tr w14:paraId="0115F7DD">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2C8B0D2E">
            <w:pPr>
              <w:tabs>
                <w:tab w:val="left" w:pos="425"/>
              </w:tabs>
              <w:snapToGrid w:val="0"/>
              <w:jc w:val="center"/>
              <w:rPr>
                <w:rFonts w:hint="eastAsia" w:ascii="宋体" w:hAnsi="宋体" w:eastAsia="宋体" w:cs="宋体"/>
                <w:szCs w:val="21"/>
              </w:rPr>
            </w:pPr>
            <w:r>
              <w:rPr>
                <w:rFonts w:hint="eastAsia" w:ascii="宋体" w:hAnsi="宋体" w:eastAsia="宋体" w:cs="宋体"/>
                <w:szCs w:val="21"/>
              </w:rPr>
              <w:t>2</w:t>
            </w:r>
          </w:p>
        </w:tc>
        <w:tc>
          <w:tcPr>
            <w:tcW w:w="1692" w:type="dxa"/>
            <w:tcBorders>
              <w:top w:val="single" w:color="auto" w:sz="4" w:space="0"/>
              <w:left w:val="nil"/>
              <w:bottom w:val="single" w:color="auto" w:sz="4" w:space="0"/>
              <w:right w:val="single" w:color="auto" w:sz="4" w:space="0"/>
            </w:tcBorders>
            <w:vAlign w:val="center"/>
          </w:tcPr>
          <w:p w14:paraId="5BC9473E">
            <w:pPr>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14:paraId="68BCAB64">
            <w:pPr>
              <w:tabs>
                <w:tab w:val="left" w:pos="425"/>
              </w:tabs>
              <w:snapToGrid w:val="0"/>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14:paraId="1A9B65E2">
            <w:pPr>
              <w:tabs>
                <w:tab w:val="left" w:pos="425"/>
              </w:tabs>
              <w:snapToGrid w:val="0"/>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A057B13">
            <w:pPr>
              <w:tabs>
                <w:tab w:val="left" w:pos="425"/>
              </w:tabs>
              <w:snapToGrid w:val="0"/>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0924991">
            <w:pPr>
              <w:tabs>
                <w:tab w:val="left" w:pos="425"/>
              </w:tabs>
              <w:snapToGrid w:val="0"/>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380CA514">
            <w:pPr>
              <w:tabs>
                <w:tab w:val="left" w:pos="425"/>
              </w:tabs>
              <w:snapToGrid w:val="0"/>
              <w:jc w:val="center"/>
              <w:rPr>
                <w:rFonts w:hint="eastAsia" w:ascii="宋体" w:hAnsi="宋体" w:eastAsia="宋体" w:cs="宋体"/>
                <w:szCs w:val="21"/>
              </w:rPr>
            </w:pPr>
          </w:p>
        </w:tc>
      </w:tr>
      <w:tr w14:paraId="4A78AED8">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79B06A38">
            <w:pPr>
              <w:tabs>
                <w:tab w:val="left" w:pos="425"/>
              </w:tabs>
              <w:snapToGrid w:val="0"/>
              <w:jc w:val="center"/>
              <w:rPr>
                <w:rFonts w:hint="eastAsia" w:ascii="宋体" w:hAnsi="宋体" w:eastAsia="宋体" w:cs="宋体"/>
                <w:szCs w:val="21"/>
              </w:rPr>
            </w:pPr>
            <w:r>
              <w:rPr>
                <w:rFonts w:hint="eastAsia" w:ascii="宋体" w:hAnsi="宋体" w:eastAsia="宋体" w:cs="宋体"/>
                <w:szCs w:val="21"/>
              </w:rPr>
              <w:t>3</w:t>
            </w:r>
          </w:p>
        </w:tc>
        <w:tc>
          <w:tcPr>
            <w:tcW w:w="1692" w:type="dxa"/>
            <w:tcBorders>
              <w:top w:val="single" w:color="auto" w:sz="4" w:space="0"/>
              <w:left w:val="nil"/>
              <w:bottom w:val="single" w:color="auto" w:sz="4" w:space="0"/>
              <w:right w:val="single" w:color="auto" w:sz="4" w:space="0"/>
            </w:tcBorders>
            <w:vAlign w:val="center"/>
          </w:tcPr>
          <w:p w14:paraId="2F474DB2">
            <w:pPr>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14:paraId="41938710">
            <w:pPr>
              <w:tabs>
                <w:tab w:val="left" w:pos="425"/>
              </w:tabs>
              <w:snapToGrid w:val="0"/>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14:paraId="4A907834">
            <w:pPr>
              <w:tabs>
                <w:tab w:val="left" w:pos="425"/>
              </w:tabs>
              <w:snapToGrid w:val="0"/>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F210087">
            <w:pPr>
              <w:tabs>
                <w:tab w:val="left" w:pos="425"/>
              </w:tabs>
              <w:snapToGrid w:val="0"/>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1392E03">
            <w:pPr>
              <w:tabs>
                <w:tab w:val="left" w:pos="425"/>
              </w:tabs>
              <w:snapToGrid w:val="0"/>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5737A199">
            <w:pPr>
              <w:tabs>
                <w:tab w:val="left" w:pos="425"/>
              </w:tabs>
              <w:snapToGrid w:val="0"/>
              <w:jc w:val="center"/>
              <w:rPr>
                <w:rFonts w:hint="eastAsia" w:ascii="宋体" w:hAnsi="宋体" w:eastAsia="宋体" w:cs="宋体"/>
                <w:szCs w:val="21"/>
              </w:rPr>
            </w:pPr>
          </w:p>
        </w:tc>
      </w:tr>
      <w:tr w14:paraId="7254D366">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vAlign w:val="center"/>
          </w:tcPr>
          <w:p w14:paraId="6E0CBEFF">
            <w:pPr>
              <w:tabs>
                <w:tab w:val="left" w:pos="425"/>
              </w:tabs>
              <w:snapToGrid w:val="0"/>
              <w:jc w:val="center"/>
              <w:rPr>
                <w:rFonts w:hint="eastAsia" w:ascii="宋体" w:hAnsi="宋体" w:eastAsia="宋体" w:cs="宋体"/>
                <w:szCs w:val="21"/>
              </w:rPr>
            </w:pPr>
            <w:r>
              <w:rPr>
                <w:rFonts w:hint="eastAsia" w:ascii="宋体" w:hAnsi="宋体" w:eastAsia="宋体" w:cs="宋体"/>
                <w:szCs w:val="21"/>
              </w:rPr>
              <w:t>4</w:t>
            </w:r>
          </w:p>
        </w:tc>
        <w:tc>
          <w:tcPr>
            <w:tcW w:w="1692" w:type="dxa"/>
            <w:tcBorders>
              <w:top w:val="nil"/>
              <w:left w:val="nil"/>
              <w:bottom w:val="single" w:color="auto" w:sz="4" w:space="0"/>
              <w:right w:val="single" w:color="auto" w:sz="4" w:space="0"/>
            </w:tcBorders>
            <w:vAlign w:val="center"/>
          </w:tcPr>
          <w:p w14:paraId="1B96EC1F">
            <w:pPr>
              <w:jc w:val="center"/>
              <w:rPr>
                <w:rFonts w:hint="eastAsia" w:ascii="宋体" w:hAnsi="宋体" w:eastAsia="宋体" w:cs="宋体"/>
                <w:szCs w:val="21"/>
              </w:rPr>
            </w:pPr>
          </w:p>
        </w:tc>
        <w:tc>
          <w:tcPr>
            <w:tcW w:w="2332" w:type="dxa"/>
            <w:tcBorders>
              <w:top w:val="nil"/>
              <w:left w:val="nil"/>
              <w:bottom w:val="single" w:color="auto" w:sz="4" w:space="0"/>
              <w:right w:val="single" w:color="auto" w:sz="4" w:space="0"/>
            </w:tcBorders>
            <w:vAlign w:val="center"/>
          </w:tcPr>
          <w:p w14:paraId="022976F3">
            <w:pPr>
              <w:tabs>
                <w:tab w:val="left" w:pos="425"/>
              </w:tabs>
              <w:snapToGrid w:val="0"/>
              <w:jc w:val="center"/>
              <w:rPr>
                <w:rFonts w:hint="eastAsia" w:ascii="宋体" w:hAnsi="宋体" w:eastAsia="宋体" w:cs="宋体"/>
                <w:szCs w:val="21"/>
              </w:rPr>
            </w:pPr>
          </w:p>
        </w:tc>
        <w:tc>
          <w:tcPr>
            <w:tcW w:w="1267" w:type="dxa"/>
            <w:tcBorders>
              <w:top w:val="nil"/>
              <w:left w:val="single" w:color="auto" w:sz="4" w:space="0"/>
              <w:bottom w:val="single" w:color="auto" w:sz="4" w:space="0"/>
              <w:right w:val="single" w:color="auto" w:sz="4" w:space="0"/>
            </w:tcBorders>
            <w:vAlign w:val="center"/>
          </w:tcPr>
          <w:p w14:paraId="4CDE6CB5">
            <w:pPr>
              <w:tabs>
                <w:tab w:val="left" w:pos="425"/>
              </w:tabs>
              <w:snapToGrid w:val="0"/>
              <w:jc w:val="center"/>
              <w:rPr>
                <w:rFonts w:hint="eastAsia" w:ascii="宋体" w:hAnsi="宋体" w:eastAsia="宋体" w:cs="宋体"/>
                <w:szCs w:val="21"/>
              </w:rPr>
            </w:pPr>
          </w:p>
        </w:tc>
        <w:tc>
          <w:tcPr>
            <w:tcW w:w="1260" w:type="dxa"/>
            <w:tcBorders>
              <w:top w:val="nil"/>
              <w:left w:val="single" w:color="auto" w:sz="4" w:space="0"/>
              <w:bottom w:val="single" w:color="auto" w:sz="4" w:space="0"/>
              <w:right w:val="single" w:color="auto" w:sz="4" w:space="0"/>
            </w:tcBorders>
            <w:vAlign w:val="center"/>
          </w:tcPr>
          <w:p w14:paraId="34C1B057">
            <w:pPr>
              <w:tabs>
                <w:tab w:val="left" w:pos="425"/>
              </w:tabs>
              <w:snapToGrid w:val="0"/>
              <w:jc w:val="center"/>
              <w:rPr>
                <w:rFonts w:hint="eastAsia" w:ascii="宋体" w:hAnsi="宋体" w:eastAsia="宋体" w:cs="宋体"/>
                <w:szCs w:val="21"/>
              </w:rPr>
            </w:pPr>
          </w:p>
        </w:tc>
        <w:tc>
          <w:tcPr>
            <w:tcW w:w="1343" w:type="dxa"/>
            <w:tcBorders>
              <w:top w:val="nil"/>
              <w:left w:val="single" w:color="auto" w:sz="4" w:space="0"/>
              <w:bottom w:val="single" w:color="auto" w:sz="4" w:space="0"/>
              <w:right w:val="single" w:color="auto" w:sz="4" w:space="0"/>
            </w:tcBorders>
            <w:vAlign w:val="center"/>
          </w:tcPr>
          <w:p w14:paraId="0F293989">
            <w:pPr>
              <w:tabs>
                <w:tab w:val="left" w:pos="425"/>
              </w:tabs>
              <w:snapToGrid w:val="0"/>
              <w:jc w:val="center"/>
              <w:rPr>
                <w:rFonts w:hint="eastAsia" w:ascii="宋体" w:hAnsi="宋体" w:eastAsia="宋体" w:cs="宋体"/>
                <w:szCs w:val="21"/>
              </w:rPr>
            </w:pPr>
          </w:p>
        </w:tc>
        <w:tc>
          <w:tcPr>
            <w:tcW w:w="643" w:type="dxa"/>
            <w:tcBorders>
              <w:top w:val="nil"/>
              <w:left w:val="single" w:color="auto" w:sz="4" w:space="0"/>
              <w:bottom w:val="single" w:color="auto" w:sz="4" w:space="0"/>
              <w:right w:val="single" w:color="auto" w:sz="4" w:space="0"/>
            </w:tcBorders>
            <w:vAlign w:val="center"/>
          </w:tcPr>
          <w:p w14:paraId="4EC5BC81">
            <w:pPr>
              <w:tabs>
                <w:tab w:val="left" w:pos="425"/>
              </w:tabs>
              <w:snapToGrid w:val="0"/>
              <w:jc w:val="center"/>
              <w:rPr>
                <w:rFonts w:hint="eastAsia" w:ascii="宋体" w:hAnsi="宋体" w:eastAsia="宋体" w:cs="宋体"/>
                <w:szCs w:val="21"/>
              </w:rPr>
            </w:pPr>
          </w:p>
        </w:tc>
      </w:tr>
      <w:tr w14:paraId="339B9236">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592B22DF">
            <w:pPr>
              <w:tabs>
                <w:tab w:val="left" w:pos="425"/>
              </w:tabs>
              <w:snapToGrid w:val="0"/>
              <w:jc w:val="center"/>
              <w:rPr>
                <w:rFonts w:hint="eastAsia" w:ascii="宋体" w:hAnsi="宋体" w:eastAsia="宋体" w:cs="宋体"/>
                <w:szCs w:val="21"/>
              </w:rPr>
            </w:pPr>
            <w:r>
              <w:rPr>
                <w:rFonts w:hint="eastAsia" w:ascii="宋体" w:hAnsi="宋体" w:eastAsia="宋体" w:cs="宋体"/>
                <w:szCs w:val="21"/>
              </w:rPr>
              <w:t>5</w:t>
            </w:r>
          </w:p>
        </w:tc>
        <w:tc>
          <w:tcPr>
            <w:tcW w:w="1692" w:type="dxa"/>
            <w:tcBorders>
              <w:top w:val="single" w:color="auto" w:sz="4" w:space="0"/>
              <w:left w:val="nil"/>
              <w:bottom w:val="single" w:color="auto" w:sz="4" w:space="0"/>
              <w:right w:val="single" w:color="auto" w:sz="4" w:space="0"/>
            </w:tcBorders>
            <w:vAlign w:val="center"/>
          </w:tcPr>
          <w:p w14:paraId="5CA39BA0">
            <w:pPr>
              <w:tabs>
                <w:tab w:val="left" w:pos="425"/>
              </w:tabs>
              <w:snapToGrid w:val="0"/>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14:paraId="0DA98EDE">
            <w:pPr>
              <w:tabs>
                <w:tab w:val="left" w:pos="425"/>
              </w:tabs>
              <w:snapToGrid w:val="0"/>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14:paraId="0CC598AB">
            <w:pPr>
              <w:tabs>
                <w:tab w:val="left" w:pos="425"/>
              </w:tabs>
              <w:snapToGrid w:val="0"/>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83E340A">
            <w:pPr>
              <w:tabs>
                <w:tab w:val="left" w:pos="425"/>
              </w:tabs>
              <w:snapToGrid w:val="0"/>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C292B37">
            <w:pPr>
              <w:tabs>
                <w:tab w:val="left" w:pos="425"/>
              </w:tabs>
              <w:snapToGrid w:val="0"/>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7FD6D918">
            <w:pPr>
              <w:tabs>
                <w:tab w:val="left" w:pos="425"/>
              </w:tabs>
              <w:snapToGrid w:val="0"/>
              <w:jc w:val="center"/>
              <w:rPr>
                <w:rFonts w:hint="eastAsia" w:ascii="宋体" w:hAnsi="宋体" w:eastAsia="宋体" w:cs="宋体"/>
                <w:szCs w:val="21"/>
              </w:rPr>
            </w:pPr>
          </w:p>
        </w:tc>
      </w:tr>
      <w:tr w14:paraId="6E0540E6">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4F88C5B5">
            <w:pPr>
              <w:tabs>
                <w:tab w:val="left" w:pos="425"/>
              </w:tabs>
              <w:snapToGrid w:val="0"/>
              <w:jc w:val="center"/>
              <w:rPr>
                <w:rFonts w:hint="eastAsia" w:ascii="宋体" w:hAnsi="宋体" w:eastAsia="宋体" w:cs="宋体"/>
                <w:szCs w:val="21"/>
              </w:rPr>
            </w:pPr>
            <w:r>
              <w:rPr>
                <w:rFonts w:hint="eastAsia" w:ascii="宋体" w:hAnsi="宋体" w:eastAsia="宋体" w:cs="宋体"/>
                <w:szCs w:val="21"/>
              </w:rPr>
              <w:t>……</w:t>
            </w:r>
          </w:p>
        </w:tc>
        <w:tc>
          <w:tcPr>
            <w:tcW w:w="1692" w:type="dxa"/>
            <w:tcBorders>
              <w:top w:val="single" w:color="auto" w:sz="4" w:space="0"/>
              <w:left w:val="nil"/>
              <w:bottom w:val="single" w:color="auto" w:sz="4" w:space="0"/>
              <w:right w:val="single" w:color="auto" w:sz="4" w:space="0"/>
            </w:tcBorders>
            <w:vAlign w:val="center"/>
          </w:tcPr>
          <w:p w14:paraId="3C734700">
            <w:pPr>
              <w:tabs>
                <w:tab w:val="left" w:pos="425"/>
              </w:tabs>
              <w:snapToGrid w:val="0"/>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14:paraId="64112EAB">
            <w:pPr>
              <w:tabs>
                <w:tab w:val="left" w:pos="425"/>
              </w:tabs>
              <w:snapToGrid w:val="0"/>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14:paraId="493786C1">
            <w:pPr>
              <w:tabs>
                <w:tab w:val="left" w:pos="425"/>
              </w:tabs>
              <w:snapToGrid w:val="0"/>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C03EE7B">
            <w:pPr>
              <w:tabs>
                <w:tab w:val="left" w:pos="425"/>
              </w:tabs>
              <w:snapToGrid w:val="0"/>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69C8948">
            <w:pPr>
              <w:tabs>
                <w:tab w:val="left" w:pos="425"/>
              </w:tabs>
              <w:snapToGrid w:val="0"/>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413C5982">
            <w:pPr>
              <w:tabs>
                <w:tab w:val="left" w:pos="425"/>
              </w:tabs>
              <w:snapToGrid w:val="0"/>
              <w:jc w:val="center"/>
              <w:rPr>
                <w:rFonts w:hint="eastAsia" w:ascii="宋体" w:hAnsi="宋体" w:eastAsia="宋体" w:cs="宋体"/>
                <w:szCs w:val="21"/>
              </w:rPr>
            </w:pPr>
          </w:p>
        </w:tc>
      </w:tr>
      <w:tr w14:paraId="3516975A">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vAlign w:val="center"/>
          </w:tcPr>
          <w:p w14:paraId="452885D4">
            <w:pPr>
              <w:tabs>
                <w:tab w:val="left" w:pos="425"/>
              </w:tabs>
              <w:snapToGrid w:val="0"/>
              <w:jc w:val="center"/>
              <w:rPr>
                <w:rFonts w:hint="eastAsia" w:ascii="宋体" w:hAnsi="宋体" w:eastAsia="宋体" w:cs="宋体"/>
                <w:b/>
                <w:szCs w:val="21"/>
              </w:rPr>
            </w:pPr>
            <w:r>
              <w:rPr>
                <w:rFonts w:hint="eastAsia" w:ascii="宋体" w:hAnsi="宋体" w:eastAsia="宋体" w:cs="宋体"/>
                <w:b/>
                <w:szCs w:val="21"/>
              </w:rPr>
              <w:t>合   计</w:t>
            </w:r>
          </w:p>
        </w:tc>
        <w:tc>
          <w:tcPr>
            <w:tcW w:w="1272" w:type="dxa"/>
            <w:tcBorders>
              <w:top w:val="single" w:color="auto" w:sz="4" w:space="0"/>
              <w:left w:val="single" w:color="auto" w:sz="4" w:space="0"/>
              <w:bottom w:val="single" w:color="auto" w:sz="4" w:space="0"/>
              <w:right w:val="single" w:color="auto" w:sz="4" w:space="0"/>
            </w:tcBorders>
            <w:vAlign w:val="center"/>
          </w:tcPr>
          <w:p w14:paraId="4C1A7FA1">
            <w:pPr>
              <w:tabs>
                <w:tab w:val="left" w:pos="425"/>
              </w:tabs>
              <w:snapToGrid w:val="0"/>
              <w:jc w:val="center"/>
              <w:rPr>
                <w:rFonts w:hint="eastAsia" w:ascii="宋体" w:hAnsi="宋体" w:eastAsia="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61CA94E8">
            <w:pPr>
              <w:tabs>
                <w:tab w:val="left" w:pos="425"/>
              </w:tabs>
              <w:snapToGrid w:val="0"/>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4D5CA3C">
            <w:pPr>
              <w:tabs>
                <w:tab w:val="left" w:pos="425"/>
              </w:tabs>
              <w:snapToGrid w:val="0"/>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14:paraId="275B966F">
            <w:pPr>
              <w:tabs>
                <w:tab w:val="left" w:pos="425"/>
              </w:tabs>
              <w:snapToGrid w:val="0"/>
              <w:jc w:val="center"/>
              <w:rPr>
                <w:rFonts w:hint="eastAsia" w:ascii="宋体" w:hAnsi="宋体" w:eastAsia="宋体" w:cs="宋体"/>
                <w:szCs w:val="21"/>
              </w:rPr>
            </w:pPr>
          </w:p>
        </w:tc>
      </w:tr>
    </w:tbl>
    <w:p w14:paraId="75E2C9E3">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686377FE">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1.本项目总价及分项报价均不接受任何形式的赠送、“零”报价。</w:t>
      </w:r>
    </w:p>
    <w:p w14:paraId="08E818C5">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2.如报价不一致，按照投标人须知“19.核价原则”进行修正。</w:t>
      </w:r>
    </w:p>
    <w:p w14:paraId="203F3B5B">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3.本表中小计=    数量×单价。</w:t>
      </w:r>
    </w:p>
    <w:p w14:paraId="29DE6C21">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4.本表仅供参考，可扩展。</w:t>
      </w:r>
    </w:p>
    <w:p w14:paraId="4605D657">
      <w:pPr>
        <w:pStyle w:val="19"/>
        <w:ind w:firstLine="420" w:firstLineChars="200"/>
        <w:rPr>
          <w:rFonts w:hint="eastAsia" w:hAnsi="宋体" w:cs="宋体"/>
        </w:rPr>
      </w:pPr>
    </w:p>
    <w:p w14:paraId="52723D31">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14:paraId="3D96773C">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27CCAB41">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620F1BB4">
      <w:pPr>
        <w:widowControl/>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格式4  商务条款偏离表</w:t>
      </w:r>
    </w:p>
    <w:tbl>
      <w:tblPr>
        <w:tblStyle w:val="2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14:paraId="528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26028906">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14:paraId="376AB471">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37E90BB9">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招标文件</w:t>
            </w:r>
          </w:p>
          <w:p w14:paraId="0E3B4498">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14:paraId="60F09BAC">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投标文件</w:t>
            </w:r>
          </w:p>
          <w:p w14:paraId="1E0F910A">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14:paraId="47F3238E">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偏离</w:t>
            </w:r>
          </w:p>
          <w:p w14:paraId="51EFF5F2">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14:paraId="0E24AAF0">
            <w:pPr>
              <w:topLinePunct/>
              <w:autoSpaceDE w:val="0"/>
              <w:autoSpaceDN w:val="0"/>
              <w:spacing w:before="62" w:beforeLines="20" w:after="4"/>
              <w:jc w:val="center"/>
              <w:rPr>
                <w:rFonts w:hint="eastAsia" w:ascii="宋体" w:hAnsi="宋体" w:eastAsia="宋体" w:cs="宋体"/>
                <w:b/>
                <w:szCs w:val="21"/>
              </w:rPr>
            </w:pPr>
            <w:r>
              <w:rPr>
                <w:rFonts w:hint="eastAsia" w:ascii="宋体" w:hAnsi="宋体" w:eastAsia="宋体" w:cs="宋体"/>
                <w:b/>
                <w:szCs w:val="21"/>
              </w:rPr>
              <w:t>说明</w:t>
            </w:r>
          </w:p>
        </w:tc>
      </w:tr>
      <w:tr w14:paraId="2009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2B38EF9">
            <w:pPr>
              <w:topLinePunct/>
              <w:autoSpaceDE w:val="0"/>
              <w:autoSpaceDN w:val="0"/>
              <w:spacing w:before="62" w:beforeLines="20" w:after="4"/>
              <w:jc w:val="center"/>
              <w:rPr>
                <w:rFonts w:hint="eastAsia" w:ascii="宋体" w:hAnsi="宋体" w:eastAsia="宋体" w:cs="宋体"/>
                <w:szCs w:val="21"/>
              </w:rPr>
            </w:pPr>
            <w:r>
              <w:rPr>
                <w:rFonts w:hint="eastAsia" w:ascii="宋体" w:hAnsi="宋体" w:eastAsia="宋体" w:cs="宋体"/>
                <w:szCs w:val="21"/>
              </w:rPr>
              <w:t>1</w:t>
            </w:r>
          </w:p>
        </w:tc>
        <w:tc>
          <w:tcPr>
            <w:tcW w:w="1798" w:type="dxa"/>
            <w:tcBorders>
              <w:top w:val="single" w:color="auto" w:sz="4" w:space="0"/>
              <w:left w:val="single" w:color="auto" w:sz="4" w:space="0"/>
              <w:bottom w:val="single" w:color="auto" w:sz="4" w:space="0"/>
              <w:right w:val="single" w:color="auto" w:sz="4" w:space="0"/>
            </w:tcBorders>
            <w:noWrap/>
          </w:tcPr>
          <w:p w14:paraId="01F26391">
            <w:pPr>
              <w:topLinePunct/>
              <w:autoSpaceDE w:val="0"/>
              <w:autoSpaceDN w:val="0"/>
              <w:spacing w:before="62" w:beforeLines="20" w:after="312"/>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14:paraId="5E81B6BE">
            <w:pPr>
              <w:topLinePunct/>
              <w:autoSpaceDE w:val="0"/>
              <w:autoSpaceDN w:val="0"/>
              <w:spacing w:before="62" w:beforeLines="20" w:after="312"/>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14:paraId="3AB74289">
            <w:pPr>
              <w:topLinePunct/>
              <w:autoSpaceDE w:val="0"/>
              <w:autoSpaceDN w:val="0"/>
              <w:spacing w:before="62" w:beforeLines="20" w:after="312"/>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14:paraId="746E22EB">
            <w:pPr>
              <w:topLinePunct/>
              <w:autoSpaceDE w:val="0"/>
              <w:autoSpaceDN w:val="0"/>
              <w:spacing w:before="62" w:beforeLines="20" w:after="312"/>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14:paraId="72D26A44">
            <w:pPr>
              <w:topLinePunct/>
              <w:autoSpaceDE w:val="0"/>
              <w:autoSpaceDN w:val="0"/>
              <w:spacing w:before="62" w:beforeLines="20" w:after="312"/>
              <w:jc w:val="center"/>
              <w:rPr>
                <w:rFonts w:hint="eastAsia" w:ascii="宋体" w:hAnsi="宋体" w:eastAsia="宋体" w:cs="宋体"/>
                <w:b/>
                <w:bCs/>
                <w:szCs w:val="21"/>
              </w:rPr>
            </w:pPr>
          </w:p>
        </w:tc>
      </w:tr>
      <w:tr w14:paraId="7BF0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CDE083A">
            <w:pPr>
              <w:topLinePunct/>
              <w:autoSpaceDE w:val="0"/>
              <w:autoSpaceDN w:val="0"/>
              <w:spacing w:before="62" w:beforeLines="20" w:after="4"/>
              <w:jc w:val="center"/>
              <w:rPr>
                <w:rFonts w:hint="eastAsia" w:ascii="宋体" w:hAnsi="宋体" w:eastAsia="宋体" w:cs="宋体"/>
                <w:szCs w:val="21"/>
              </w:rPr>
            </w:pPr>
            <w:r>
              <w:rPr>
                <w:rFonts w:hint="eastAsia" w:ascii="宋体" w:hAnsi="宋体" w:eastAsia="宋体" w:cs="宋体"/>
                <w:szCs w:val="21"/>
              </w:rPr>
              <w:t>2</w:t>
            </w:r>
          </w:p>
        </w:tc>
        <w:tc>
          <w:tcPr>
            <w:tcW w:w="1798" w:type="dxa"/>
            <w:tcBorders>
              <w:top w:val="single" w:color="auto" w:sz="4" w:space="0"/>
              <w:left w:val="single" w:color="auto" w:sz="4" w:space="0"/>
              <w:bottom w:val="single" w:color="auto" w:sz="4" w:space="0"/>
              <w:right w:val="single" w:color="auto" w:sz="4" w:space="0"/>
            </w:tcBorders>
            <w:noWrap/>
          </w:tcPr>
          <w:p w14:paraId="58D44F37">
            <w:pPr>
              <w:topLinePunct/>
              <w:autoSpaceDE w:val="0"/>
              <w:autoSpaceDN w:val="0"/>
              <w:spacing w:before="62" w:beforeLines="20" w:after="312"/>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14:paraId="46BBF76D">
            <w:pPr>
              <w:topLinePunct/>
              <w:autoSpaceDE w:val="0"/>
              <w:autoSpaceDN w:val="0"/>
              <w:spacing w:before="62" w:beforeLines="20" w:after="312"/>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14:paraId="0D584890">
            <w:pPr>
              <w:topLinePunct/>
              <w:autoSpaceDE w:val="0"/>
              <w:autoSpaceDN w:val="0"/>
              <w:spacing w:before="62" w:beforeLines="20" w:after="312"/>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14:paraId="443E8467">
            <w:pPr>
              <w:topLinePunct/>
              <w:autoSpaceDE w:val="0"/>
              <w:autoSpaceDN w:val="0"/>
              <w:spacing w:before="62" w:beforeLines="20" w:after="312"/>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14:paraId="181FC167">
            <w:pPr>
              <w:topLinePunct/>
              <w:autoSpaceDE w:val="0"/>
              <w:autoSpaceDN w:val="0"/>
              <w:spacing w:before="62" w:beforeLines="20" w:after="312"/>
              <w:jc w:val="center"/>
              <w:rPr>
                <w:rFonts w:hint="eastAsia" w:ascii="宋体" w:hAnsi="宋体" w:eastAsia="宋体" w:cs="宋体"/>
                <w:b/>
                <w:bCs/>
                <w:szCs w:val="21"/>
              </w:rPr>
            </w:pPr>
          </w:p>
        </w:tc>
      </w:tr>
      <w:tr w14:paraId="10EE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8EE55F0">
            <w:pPr>
              <w:topLinePunct/>
              <w:autoSpaceDE w:val="0"/>
              <w:autoSpaceDN w:val="0"/>
              <w:spacing w:before="62" w:beforeLines="20" w:after="4"/>
              <w:jc w:val="center"/>
              <w:rPr>
                <w:rFonts w:hint="eastAsia" w:ascii="宋体" w:hAnsi="宋体" w:eastAsia="宋体" w:cs="宋体"/>
                <w:szCs w:val="21"/>
              </w:rPr>
            </w:pPr>
            <w:r>
              <w:rPr>
                <w:rFonts w:hint="eastAsia" w:ascii="宋体" w:hAnsi="宋体" w:eastAsia="宋体" w:cs="宋体"/>
                <w:szCs w:val="21"/>
              </w:rPr>
              <w:t>3</w:t>
            </w:r>
          </w:p>
        </w:tc>
        <w:tc>
          <w:tcPr>
            <w:tcW w:w="1798" w:type="dxa"/>
            <w:tcBorders>
              <w:top w:val="single" w:color="auto" w:sz="4" w:space="0"/>
              <w:left w:val="single" w:color="auto" w:sz="4" w:space="0"/>
              <w:bottom w:val="single" w:color="auto" w:sz="4" w:space="0"/>
              <w:right w:val="single" w:color="auto" w:sz="4" w:space="0"/>
            </w:tcBorders>
            <w:noWrap/>
          </w:tcPr>
          <w:p w14:paraId="2659A078">
            <w:pPr>
              <w:topLinePunct/>
              <w:autoSpaceDE w:val="0"/>
              <w:autoSpaceDN w:val="0"/>
              <w:spacing w:before="62" w:beforeLines="20" w:after="312"/>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14:paraId="787812D0">
            <w:pPr>
              <w:topLinePunct/>
              <w:autoSpaceDE w:val="0"/>
              <w:autoSpaceDN w:val="0"/>
              <w:spacing w:before="62" w:beforeLines="20" w:after="312"/>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14:paraId="44079EF2">
            <w:pPr>
              <w:topLinePunct/>
              <w:autoSpaceDE w:val="0"/>
              <w:autoSpaceDN w:val="0"/>
              <w:spacing w:before="62" w:beforeLines="20" w:after="312"/>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14:paraId="4D2C6115">
            <w:pPr>
              <w:topLinePunct/>
              <w:autoSpaceDE w:val="0"/>
              <w:autoSpaceDN w:val="0"/>
              <w:spacing w:before="62" w:beforeLines="20" w:after="312"/>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14:paraId="2994CF92">
            <w:pPr>
              <w:topLinePunct/>
              <w:autoSpaceDE w:val="0"/>
              <w:autoSpaceDN w:val="0"/>
              <w:spacing w:before="62" w:beforeLines="20" w:after="312"/>
              <w:jc w:val="center"/>
              <w:rPr>
                <w:rFonts w:hint="eastAsia" w:ascii="宋体" w:hAnsi="宋体" w:eastAsia="宋体" w:cs="宋体"/>
                <w:b/>
                <w:bCs/>
                <w:szCs w:val="21"/>
              </w:rPr>
            </w:pPr>
          </w:p>
        </w:tc>
      </w:tr>
      <w:tr w14:paraId="617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C49083A">
            <w:pPr>
              <w:topLinePunct/>
              <w:autoSpaceDE w:val="0"/>
              <w:autoSpaceDN w:val="0"/>
              <w:spacing w:before="62" w:beforeLines="20" w:after="4"/>
              <w:jc w:val="center"/>
              <w:rPr>
                <w:rFonts w:hint="eastAsia" w:ascii="宋体" w:hAnsi="宋体" w:eastAsia="宋体" w:cs="宋体"/>
                <w:szCs w:val="21"/>
              </w:rPr>
            </w:pPr>
            <w:r>
              <w:rPr>
                <w:rFonts w:hint="eastAsia" w:ascii="宋体" w:hAnsi="宋体" w:eastAsia="宋体" w:cs="宋体"/>
                <w:szCs w:val="21"/>
              </w:rPr>
              <w:t>4</w:t>
            </w:r>
          </w:p>
        </w:tc>
        <w:tc>
          <w:tcPr>
            <w:tcW w:w="1798" w:type="dxa"/>
            <w:tcBorders>
              <w:top w:val="single" w:color="auto" w:sz="4" w:space="0"/>
              <w:left w:val="single" w:color="auto" w:sz="4" w:space="0"/>
              <w:bottom w:val="single" w:color="auto" w:sz="4" w:space="0"/>
              <w:right w:val="single" w:color="auto" w:sz="4" w:space="0"/>
            </w:tcBorders>
            <w:noWrap/>
          </w:tcPr>
          <w:p w14:paraId="5A99361E">
            <w:pPr>
              <w:topLinePunct/>
              <w:autoSpaceDE w:val="0"/>
              <w:autoSpaceDN w:val="0"/>
              <w:spacing w:before="62" w:beforeLines="20" w:after="312"/>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14:paraId="47E21FA2">
            <w:pPr>
              <w:topLinePunct/>
              <w:autoSpaceDE w:val="0"/>
              <w:autoSpaceDN w:val="0"/>
              <w:spacing w:before="62" w:beforeLines="20" w:after="312"/>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14:paraId="05304667">
            <w:pPr>
              <w:topLinePunct/>
              <w:autoSpaceDE w:val="0"/>
              <w:autoSpaceDN w:val="0"/>
              <w:spacing w:before="62" w:beforeLines="20" w:after="312"/>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14:paraId="22BA2EA6">
            <w:pPr>
              <w:topLinePunct/>
              <w:autoSpaceDE w:val="0"/>
              <w:autoSpaceDN w:val="0"/>
              <w:spacing w:before="62" w:beforeLines="20" w:after="312"/>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14:paraId="2C9207BB">
            <w:pPr>
              <w:topLinePunct/>
              <w:autoSpaceDE w:val="0"/>
              <w:autoSpaceDN w:val="0"/>
              <w:spacing w:before="62" w:beforeLines="20" w:after="312"/>
              <w:jc w:val="center"/>
              <w:rPr>
                <w:rFonts w:hint="eastAsia" w:ascii="宋体" w:hAnsi="宋体" w:eastAsia="宋体" w:cs="宋体"/>
                <w:b/>
                <w:bCs/>
                <w:szCs w:val="21"/>
              </w:rPr>
            </w:pPr>
          </w:p>
        </w:tc>
      </w:tr>
      <w:tr w14:paraId="7FE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164F9CF">
            <w:pPr>
              <w:topLinePunct/>
              <w:autoSpaceDE w:val="0"/>
              <w:autoSpaceDN w:val="0"/>
              <w:spacing w:before="62" w:beforeLines="20" w:after="4"/>
              <w:jc w:val="center"/>
              <w:rPr>
                <w:rFonts w:hint="eastAsia" w:ascii="宋体" w:hAnsi="宋体" w:eastAsia="宋体" w:cs="宋体"/>
                <w:szCs w:val="21"/>
              </w:rPr>
            </w:pPr>
            <w:r>
              <w:rPr>
                <w:rFonts w:hint="eastAsia" w:ascii="宋体" w:hAnsi="宋体" w:eastAsia="宋体" w:cs="宋体"/>
                <w:szCs w:val="21"/>
              </w:rPr>
              <w:t>……</w:t>
            </w:r>
          </w:p>
        </w:tc>
        <w:tc>
          <w:tcPr>
            <w:tcW w:w="1798" w:type="dxa"/>
            <w:tcBorders>
              <w:top w:val="single" w:color="auto" w:sz="4" w:space="0"/>
              <w:left w:val="single" w:color="auto" w:sz="4" w:space="0"/>
              <w:bottom w:val="single" w:color="auto" w:sz="4" w:space="0"/>
              <w:right w:val="single" w:color="auto" w:sz="4" w:space="0"/>
            </w:tcBorders>
            <w:noWrap/>
          </w:tcPr>
          <w:p w14:paraId="42A3148B">
            <w:pPr>
              <w:topLinePunct/>
              <w:autoSpaceDE w:val="0"/>
              <w:autoSpaceDN w:val="0"/>
              <w:spacing w:before="62" w:beforeLines="20" w:after="312"/>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14:paraId="49D5A84C">
            <w:pPr>
              <w:topLinePunct/>
              <w:autoSpaceDE w:val="0"/>
              <w:autoSpaceDN w:val="0"/>
              <w:spacing w:before="62" w:beforeLines="20" w:after="312"/>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14:paraId="239D0033">
            <w:pPr>
              <w:topLinePunct/>
              <w:autoSpaceDE w:val="0"/>
              <w:autoSpaceDN w:val="0"/>
              <w:spacing w:before="62" w:beforeLines="20" w:after="312"/>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14:paraId="0AC72718">
            <w:pPr>
              <w:topLinePunct/>
              <w:autoSpaceDE w:val="0"/>
              <w:autoSpaceDN w:val="0"/>
              <w:spacing w:before="62" w:beforeLines="20" w:after="312"/>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14:paraId="3766D258">
            <w:pPr>
              <w:topLinePunct/>
              <w:autoSpaceDE w:val="0"/>
              <w:autoSpaceDN w:val="0"/>
              <w:spacing w:before="62" w:beforeLines="20" w:after="312"/>
              <w:jc w:val="center"/>
              <w:rPr>
                <w:rFonts w:hint="eastAsia" w:ascii="宋体" w:hAnsi="宋体" w:eastAsia="宋体" w:cs="宋体"/>
                <w:b/>
                <w:bCs/>
                <w:szCs w:val="21"/>
              </w:rPr>
            </w:pPr>
          </w:p>
        </w:tc>
      </w:tr>
    </w:tbl>
    <w:p w14:paraId="22545227">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72A63826">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1.商务条款无需条对条应答，如无偏离，请在此表中填写“无偏离”；如有偏离，请在此表中应答为“正/负偏离”并说明偏离情况。</w:t>
      </w:r>
    </w:p>
    <w:p w14:paraId="5969DEDD">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2.如《招标文件-商务部分》中有标注★号的，则为实质性要求，必须满足，如应答为“负偏离”，将导致投标无效。</w:t>
      </w:r>
    </w:p>
    <w:p w14:paraId="32F2908C">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3.本表可扩展。</w:t>
      </w:r>
    </w:p>
    <w:p w14:paraId="3719C62D">
      <w:pPr>
        <w:topLinePunct/>
        <w:autoSpaceDE w:val="0"/>
        <w:autoSpaceDN w:val="0"/>
        <w:spacing w:line="500" w:lineRule="exact"/>
        <w:rPr>
          <w:rFonts w:hint="eastAsia" w:ascii="宋体" w:hAnsi="宋体" w:eastAsia="宋体" w:cs="宋体"/>
          <w:sz w:val="24"/>
        </w:rPr>
      </w:pPr>
    </w:p>
    <w:p w14:paraId="5DEA8D82">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14:paraId="0F3E523C">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F5E0E99">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3800C72A">
      <w:pPr>
        <w:rPr>
          <w:rFonts w:hint="eastAsia" w:ascii="宋体" w:hAnsi="宋体" w:eastAsia="宋体" w:cs="宋体"/>
          <w:b/>
          <w:bCs/>
          <w:sz w:val="28"/>
          <w:szCs w:val="28"/>
        </w:rPr>
      </w:pPr>
    </w:p>
    <w:p w14:paraId="062AD4A4">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格式5  投标人具备投标资格证明文件</w:t>
      </w:r>
    </w:p>
    <w:p w14:paraId="3E7F7AC3">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5-1投标人基本情况</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14:paraId="4390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15200A2E">
            <w:pPr>
              <w:pStyle w:val="19"/>
              <w:spacing w:line="360" w:lineRule="auto"/>
              <w:jc w:val="center"/>
              <w:rPr>
                <w:rFonts w:hint="eastAsia" w:hAnsi="宋体" w:cs="宋体"/>
              </w:rPr>
            </w:pPr>
            <w:r>
              <w:rPr>
                <w:rFonts w:hint="eastAsia" w:hAnsi="宋体" w:cs="宋体"/>
              </w:rPr>
              <w:t>供应商名称</w:t>
            </w:r>
          </w:p>
        </w:tc>
        <w:tc>
          <w:tcPr>
            <w:tcW w:w="1234" w:type="pct"/>
            <w:gridSpan w:val="2"/>
            <w:vAlign w:val="center"/>
          </w:tcPr>
          <w:p w14:paraId="4C5C56DE">
            <w:pPr>
              <w:pStyle w:val="19"/>
              <w:spacing w:line="360" w:lineRule="auto"/>
              <w:jc w:val="center"/>
              <w:rPr>
                <w:rFonts w:hint="eastAsia" w:hAnsi="宋体" w:cs="宋体"/>
              </w:rPr>
            </w:pPr>
          </w:p>
        </w:tc>
        <w:tc>
          <w:tcPr>
            <w:tcW w:w="987" w:type="pct"/>
            <w:vAlign w:val="center"/>
          </w:tcPr>
          <w:p w14:paraId="41A1C7B6">
            <w:pPr>
              <w:pStyle w:val="19"/>
              <w:spacing w:line="360" w:lineRule="auto"/>
              <w:jc w:val="center"/>
              <w:rPr>
                <w:rFonts w:hint="eastAsia" w:hAnsi="宋体" w:cs="宋体"/>
              </w:rPr>
            </w:pPr>
            <w:r>
              <w:rPr>
                <w:rFonts w:hint="eastAsia" w:hAnsi="宋体" w:cs="宋体"/>
              </w:rPr>
              <w:t>法定代表人</w:t>
            </w:r>
          </w:p>
        </w:tc>
        <w:tc>
          <w:tcPr>
            <w:tcW w:w="1564" w:type="pct"/>
            <w:vAlign w:val="center"/>
          </w:tcPr>
          <w:p w14:paraId="4C300264">
            <w:pPr>
              <w:pStyle w:val="19"/>
              <w:spacing w:line="360" w:lineRule="auto"/>
              <w:jc w:val="center"/>
              <w:rPr>
                <w:rFonts w:hint="eastAsia" w:hAnsi="宋体" w:cs="宋体"/>
              </w:rPr>
            </w:pPr>
          </w:p>
        </w:tc>
      </w:tr>
      <w:tr w14:paraId="09AA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4277CB7B">
            <w:pPr>
              <w:pStyle w:val="19"/>
              <w:spacing w:line="360" w:lineRule="auto"/>
              <w:jc w:val="center"/>
              <w:rPr>
                <w:rFonts w:hint="eastAsia" w:hAnsi="宋体" w:cs="宋体"/>
              </w:rPr>
            </w:pPr>
            <w:r>
              <w:rPr>
                <w:rFonts w:hint="eastAsia" w:hAnsi="宋体" w:cs="宋体"/>
              </w:rPr>
              <w:t>统一社会信用代码</w:t>
            </w:r>
          </w:p>
        </w:tc>
        <w:tc>
          <w:tcPr>
            <w:tcW w:w="1234" w:type="pct"/>
            <w:gridSpan w:val="2"/>
            <w:vAlign w:val="center"/>
          </w:tcPr>
          <w:p w14:paraId="4C721BD8">
            <w:pPr>
              <w:pStyle w:val="19"/>
              <w:spacing w:line="360" w:lineRule="auto"/>
              <w:jc w:val="center"/>
              <w:rPr>
                <w:rFonts w:hint="eastAsia" w:hAnsi="宋体" w:cs="宋体"/>
              </w:rPr>
            </w:pPr>
          </w:p>
        </w:tc>
        <w:tc>
          <w:tcPr>
            <w:tcW w:w="987" w:type="pct"/>
            <w:vAlign w:val="center"/>
          </w:tcPr>
          <w:p w14:paraId="5D9444B0">
            <w:pPr>
              <w:pStyle w:val="19"/>
              <w:spacing w:line="360" w:lineRule="auto"/>
              <w:jc w:val="center"/>
              <w:rPr>
                <w:rFonts w:hint="eastAsia" w:hAnsi="宋体" w:cs="宋体"/>
              </w:rPr>
            </w:pPr>
            <w:r>
              <w:rPr>
                <w:rFonts w:hint="eastAsia" w:hAnsi="宋体" w:cs="宋体"/>
              </w:rPr>
              <w:t>邮政编码</w:t>
            </w:r>
          </w:p>
        </w:tc>
        <w:tc>
          <w:tcPr>
            <w:tcW w:w="1564" w:type="pct"/>
            <w:vAlign w:val="center"/>
          </w:tcPr>
          <w:p w14:paraId="1DED24AE">
            <w:pPr>
              <w:pStyle w:val="19"/>
              <w:spacing w:line="360" w:lineRule="auto"/>
              <w:jc w:val="center"/>
              <w:rPr>
                <w:rFonts w:hint="eastAsia" w:hAnsi="宋体" w:cs="宋体"/>
              </w:rPr>
            </w:pPr>
          </w:p>
        </w:tc>
      </w:tr>
      <w:tr w14:paraId="0A0F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38B77C06">
            <w:pPr>
              <w:pStyle w:val="19"/>
              <w:spacing w:line="360" w:lineRule="auto"/>
              <w:jc w:val="center"/>
              <w:rPr>
                <w:rFonts w:hint="eastAsia" w:hAnsi="宋体" w:cs="宋体"/>
              </w:rPr>
            </w:pPr>
            <w:r>
              <w:rPr>
                <w:rFonts w:hint="eastAsia" w:hAnsi="宋体" w:cs="宋体"/>
              </w:rPr>
              <w:t>授权代表</w:t>
            </w:r>
          </w:p>
        </w:tc>
        <w:tc>
          <w:tcPr>
            <w:tcW w:w="1234" w:type="pct"/>
            <w:gridSpan w:val="2"/>
            <w:vAlign w:val="center"/>
          </w:tcPr>
          <w:p w14:paraId="40F10E8E">
            <w:pPr>
              <w:pStyle w:val="19"/>
              <w:spacing w:line="360" w:lineRule="auto"/>
              <w:jc w:val="center"/>
              <w:rPr>
                <w:rFonts w:hint="eastAsia" w:hAnsi="宋体" w:cs="宋体"/>
              </w:rPr>
            </w:pPr>
          </w:p>
        </w:tc>
        <w:tc>
          <w:tcPr>
            <w:tcW w:w="987" w:type="pct"/>
            <w:vAlign w:val="center"/>
          </w:tcPr>
          <w:p w14:paraId="1E360423">
            <w:pPr>
              <w:pStyle w:val="19"/>
              <w:spacing w:line="360" w:lineRule="auto"/>
              <w:jc w:val="center"/>
              <w:rPr>
                <w:rFonts w:hint="eastAsia" w:hAnsi="宋体" w:cs="宋体"/>
              </w:rPr>
            </w:pPr>
            <w:r>
              <w:rPr>
                <w:rFonts w:hint="eastAsia" w:hAnsi="宋体" w:cs="宋体"/>
              </w:rPr>
              <w:t>联系电话</w:t>
            </w:r>
          </w:p>
        </w:tc>
        <w:tc>
          <w:tcPr>
            <w:tcW w:w="1564" w:type="pct"/>
            <w:vAlign w:val="center"/>
          </w:tcPr>
          <w:p w14:paraId="08A591E7">
            <w:pPr>
              <w:pStyle w:val="19"/>
              <w:spacing w:line="360" w:lineRule="auto"/>
              <w:jc w:val="center"/>
              <w:rPr>
                <w:rFonts w:hint="eastAsia" w:hAnsi="宋体" w:cs="宋体"/>
              </w:rPr>
            </w:pPr>
          </w:p>
        </w:tc>
      </w:tr>
      <w:tr w14:paraId="54FA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738E7B13">
            <w:pPr>
              <w:pStyle w:val="19"/>
              <w:spacing w:line="360" w:lineRule="auto"/>
              <w:jc w:val="center"/>
              <w:rPr>
                <w:rFonts w:hint="eastAsia" w:hAnsi="宋体" w:cs="宋体"/>
              </w:rPr>
            </w:pPr>
            <w:r>
              <w:rPr>
                <w:rFonts w:hint="eastAsia" w:hAnsi="宋体" w:cs="宋体"/>
              </w:rPr>
              <w:t>电子邮箱</w:t>
            </w:r>
          </w:p>
        </w:tc>
        <w:tc>
          <w:tcPr>
            <w:tcW w:w="1234" w:type="pct"/>
            <w:gridSpan w:val="2"/>
            <w:vAlign w:val="center"/>
          </w:tcPr>
          <w:p w14:paraId="12FFBE08">
            <w:pPr>
              <w:pStyle w:val="19"/>
              <w:spacing w:line="360" w:lineRule="auto"/>
              <w:jc w:val="center"/>
              <w:rPr>
                <w:rFonts w:hint="eastAsia" w:hAnsi="宋体" w:cs="宋体"/>
              </w:rPr>
            </w:pPr>
          </w:p>
        </w:tc>
        <w:tc>
          <w:tcPr>
            <w:tcW w:w="987" w:type="pct"/>
            <w:vAlign w:val="center"/>
          </w:tcPr>
          <w:p w14:paraId="0333B54E">
            <w:pPr>
              <w:pStyle w:val="19"/>
              <w:spacing w:line="360" w:lineRule="auto"/>
              <w:jc w:val="center"/>
              <w:rPr>
                <w:rFonts w:hint="eastAsia" w:hAnsi="宋体" w:cs="宋体"/>
              </w:rPr>
            </w:pPr>
            <w:r>
              <w:rPr>
                <w:rFonts w:hint="eastAsia" w:hAnsi="宋体" w:cs="宋体"/>
              </w:rPr>
              <w:t>传真</w:t>
            </w:r>
          </w:p>
        </w:tc>
        <w:tc>
          <w:tcPr>
            <w:tcW w:w="1564" w:type="pct"/>
            <w:vAlign w:val="center"/>
          </w:tcPr>
          <w:p w14:paraId="0150D0EB">
            <w:pPr>
              <w:pStyle w:val="19"/>
              <w:spacing w:line="360" w:lineRule="auto"/>
              <w:jc w:val="center"/>
              <w:rPr>
                <w:rFonts w:hint="eastAsia" w:hAnsi="宋体" w:cs="宋体"/>
              </w:rPr>
            </w:pPr>
          </w:p>
        </w:tc>
      </w:tr>
      <w:tr w14:paraId="2155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7CF30E80">
            <w:pPr>
              <w:pStyle w:val="19"/>
              <w:spacing w:line="360" w:lineRule="auto"/>
              <w:jc w:val="center"/>
              <w:rPr>
                <w:rFonts w:hint="eastAsia" w:hAnsi="宋体" w:cs="宋体"/>
              </w:rPr>
            </w:pPr>
            <w:r>
              <w:rPr>
                <w:rFonts w:hint="eastAsia" w:hAnsi="宋体" w:cs="宋体"/>
              </w:rPr>
              <w:t>上年营业收入</w:t>
            </w:r>
          </w:p>
        </w:tc>
        <w:tc>
          <w:tcPr>
            <w:tcW w:w="1234" w:type="pct"/>
            <w:gridSpan w:val="2"/>
            <w:vAlign w:val="center"/>
          </w:tcPr>
          <w:p w14:paraId="0A5BB7D2">
            <w:pPr>
              <w:pStyle w:val="19"/>
              <w:spacing w:line="360" w:lineRule="auto"/>
              <w:jc w:val="center"/>
              <w:rPr>
                <w:rFonts w:hint="eastAsia" w:hAnsi="宋体" w:cs="宋体"/>
              </w:rPr>
            </w:pPr>
          </w:p>
        </w:tc>
        <w:tc>
          <w:tcPr>
            <w:tcW w:w="987" w:type="pct"/>
            <w:vAlign w:val="center"/>
          </w:tcPr>
          <w:p w14:paraId="05F2953A">
            <w:pPr>
              <w:pStyle w:val="19"/>
              <w:spacing w:line="360" w:lineRule="auto"/>
              <w:jc w:val="center"/>
              <w:rPr>
                <w:rFonts w:hint="eastAsia" w:hAnsi="宋体" w:cs="宋体"/>
              </w:rPr>
            </w:pPr>
            <w:r>
              <w:rPr>
                <w:rFonts w:hint="eastAsia" w:hAnsi="宋体" w:cs="宋体"/>
              </w:rPr>
              <w:t>员工总人数</w:t>
            </w:r>
          </w:p>
        </w:tc>
        <w:tc>
          <w:tcPr>
            <w:tcW w:w="1564" w:type="pct"/>
            <w:vAlign w:val="center"/>
          </w:tcPr>
          <w:p w14:paraId="4456B8F1">
            <w:pPr>
              <w:pStyle w:val="19"/>
              <w:spacing w:line="360" w:lineRule="auto"/>
              <w:jc w:val="center"/>
              <w:rPr>
                <w:rFonts w:hint="eastAsia" w:hAnsi="宋体" w:cs="宋体"/>
              </w:rPr>
            </w:pPr>
          </w:p>
        </w:tc>
      </w:tr>
      <w:tr w14:paraId="5A7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2F483B04">
            <w:pPr>
              <w:pStyle w:val="19"/>
              <w:spacing w:line="360" w:lineRule="auto"/>
              <w:jc w:val="center"/>
              <w:rPr>
                <w:rFonts w:hint="eastAsia" w:hAnsi="宋体" w:cs="宋体"/>
              </w:rPr>
            </w:pPr>
            <w:r>
              <w:rPr>
                <w:rFonts w:hint="eastAsia" w:hAnsi="宋体" w:cs="宋体"/>
              </w:rPr>
              <w:t>基本账户开户行及账号</w:t>
            </w:r>
          </w:p>
        </w:tc>
        <w:tc>
          <w:tcPr>
            <w:tcW w:w="3456" w:type="pct"/>
            <w:gridSpan w:val="3"/>
            <w:vAlign w:val="center"/>
          </w:tcPr>
          <w:p w14:paraId="7CD23CC9">
            <w:pPr>
              <w:pStyle w:val="19"/>
              <w:spacing w:line="360" w:lineRule="auto"/>
              <w:jc w:val="center"/>
              <w:rPr>
                <w:rFonts w:hint="eastAsia" w:hAnsi="宋体" w:cs="宋体"/>
              </w:rPr>
            </w:pPr>
          </w:p>
        </w:tc>
      </w:tr>
      <w:tr w14:paraId="7E00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33730C10">
            <w:pPr>
              <w:pStyle w:val="19"/>
              <w:spacing w:line="360" w:lineRule="auto"/>
              <w:jc w:val="center"/>
              <w:rPr>
                <w:rFonts w:hint="eastAsia" w:hAnsi="宋体" w:cs="宋体"/>
              </w:rPr>
            </w:pPr>
            <w:r>
              <w:rPr>
                <w:rFonts w:hint="eastAsia" w:hAnsi="宋体" w:cs="宋体"/>
              </w:rPr>
              <w:t>税务登记机关</w:t>
            </w:r>
          </w:p>
        </w:tc>
        <w:tc>
          <w:tcPr>
            <w:tcW w:w="3456" w:type="pct"/>
            <w:gridSpan w:val="3"/>
            <w:vAlign w:val="center"/>
          </w:tcPr>
          <w:p w14:paraId="5AE67125">
            <w:pPr>
              <w:pStyle w:val="19"/>
              <w:spacing w:line="360" w:lineRule="auto"/>
              <w:jc w:val="center"/>
              <w:rPr>
                <w:rFonts w:hint="eastAsia" w:hAnsi="宋体" w:cs="宋体"/>
              </w:rPr>
            </w:pPr>
          </w:p>
        </w:tc>
      </w:tr>
      <w:tr w14:paraId="2277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31A0394A">
            <w:pPr>
              <w:pStyle w:val="19"/>
              <w:spacing w:line="360" w:lineRule="auto"/>
              <w:jc w:val="center"/>
              <w:rPr>
                <w:rFonts w:hint="eastAsia" w:hAnsi="宋体" w:cs="宋体"/>
              </w:rPr>
            </w:pPr>
            <w:r>
              <w:rPr>
                <w:rFonts w:hint="eastAsia" w:hAnsi="宋体" w:cs="宋体"/>
              </w:rPr>
              <w:t>资质名称</w:t>
            </w:r>
          </w:p>
        </w:tc>
        <w:tc>
          <w:tcPr>
            <w:tcW w:w="905" w:type="pct"/>
            <w:vAlign w:val="center"/>
          </w:tcPr>
          <w:p w14:paraId="3088CF59">
            <w:pPr>
              <w:pStyle w:val="19"/>
              <w:spacing w:line="360" w:lineRule="auto"/>
              <w:jc w:val="center"/>
              <w:rPr>
                <w:rFonts w:hint="eastAsia" w:hAnsi="宋体" w:cs="宋体"/>
              </w:rPr>
            </w:pPr>
            <w:r>
              <w:rPr>
                <w:rFonts w:hint="eastAsia" w:hAnsi="宋体" w:cs="宋体"/>
              </w:rPr>
              <w:t>等级</w:t>
            </w:r>
          </w:p>
        </w:tc>
        <w:tc>
          <w:tcPr>
            <w:tcW w:w="987" w:type="pct"/>
            <w:vAlign w:val="center"/>
          </w:tcPr>
          <w:p w14:paraId="395E04E4">
            <w:pPr>
              <w:pStyle w:val="19"/>
              <w:spacing w:line="360" w:lineRule="auto"/>
              <w:jc w:val="center"/>
              <w:rPr>
                <w:rFonts w:hint="eastAsia" w:hAnsi="宋体" w:cs="宋体"/>
              </w:rPr>
            </w:pPr>
            <w:r>
              <w:rPr>
                <w:rFonts w:hint="eastAsia" w:hAnsi="宋体" w:cs="宋体"/>
              </w:rPr>
              <w:t>发证机关</w:t>
            </w:r>
          </w:p>
        </w:tc>
        <w:tc>
          <w:tcPr>
            <w:tcW w:w="1564" w:type="pct"/>
            <w:vAlign w:val="center"/>
          </w:tcPr>
          <w:p w14:paraId="6E556BB1">
            <w:pPr>
              <w:pStyle w:val="19"/>
              <w:spacing w:line="360" w:lineRule="auto"/>
              <w:jc w:val="center"/>
              <w:rPr>
                <w:rFonts w:hint="eastAsia" w:hAnsi="宋体" w:cs="宋体"/>
              </w:rPr>
            </w:pPr>
            <w:r>
              <w:rPr>
                <w:rFonts w:hint="eastAsia" w:hAnsi="宋体" w:cs="宋体"/>
              </w:rPr>
              <w:t>有效期</w:t>
            </w:r>
          </w:p>
        </w:tc>
      </w:tr>
      <w:tr w14:paraId="7C51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49B9B69A">
            <w:pPr>
              <w:pStyle w:val="19"/>
              <w:spacing w:line="360" w:lineRule="auto"/>
              <w:jc w:val="center"/>
              <w:rPr>
                <w:rFonts w:hint="eastAsia" w:hAnsi="宋体" w:cs="宋体"/>
              </w:rPr>
            </w:pPr>
          </w:p>
        </w:tc>
        <w:tc>
          <w:tcPr>
            <w:tcW w:w="905" w:type="pct"/>
            <w:vAlign w:val="center"/>
          </w:tcPr>
          <w:p w14:paraId="0A424FBC">
            <w:pPr>
              <w:pStyle w:val="19"/>
              <w:spacing w:line="360" w:lineRule="auto"/>
              <w:jc w:val="center"/>
              <w:rPr>
                <w:rFonts w:hint="eastAsia" w:hAnsi="宋体" w:cs="宋体"/>
              </w:rPr>
            </w:pPr>
          </w:p>
        </w:tc>
        <w:tc>
          <w:tcPr>
            <w:tcW w:w="987" w:type="pct"/>
            <w:vAlign w:val="center"/>
          </w:tcPr>
          <w:p w14:paraId="2443D1EA">
            <w:pPr>
              <w:pStyle w:val="19"/>
              <w:spacing w:line="360" w:lineRule="auto"/>
              <w:jc w:val="center"/>
              <w:rPr>
                <w:rFonts w:hint="eastAsia" w:hAnsi="宋体" w:cs="宋体"/>
              </w:rPr>
            </w:pPr>
          </w:p>
        </w:tc>
        <w:tc>
          <w:tcPr>
            <w:tcW w:w="1564" w:type="pct"/>
            <w:vAlign w:val="center"/>
          </w:tcPr>
          <w:p w14:paraId="2E9FA0DE">
            <w:pPr>
              <w:pStyle w:val="19"/>
              <w:spacing w:line="360" w:lineRule="auto"/>
              <w:jc w:val="center"/>
              <w:rPr>
                <w:rFonts w:hint="eastAsia" w:hAnsi="宋体" w:cs="宋体"/>
              </w:rPr>
            </w:pPr>
          </w:p>
        </w:tc>
      </w:tr>
      <w:tr w14:paraId="7193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14:paraId="74073093">
            <w:pPr>
              <w:pStyle w:val="19"/>
              <w:spacing w:line="360" w:lineRule="auto"/>
              <w:jc w:val="center"/>
              <w:rPr>
                <w:rFonts w:hint="eastAsia" w:hAnsi="宋体" w:cs="宋体"/>
              </w:rPr>
            </w:pPr>
          </w:p>
        </w:tc>
        <w:tc>
          <w:tcPr>
            <w:tcW w:w="905" w:type="pct"/>
            <w:vAlign w:val="center"/>
          </w:tcPr>
          <w:p w14:paraId="03BA3C0E">
            <w:pPr>
              <w:pStyle w:val="19"/>
              <w:spacing w:line="360" w:lineRule="auto"/>
              <w:jc w:val="center"/>
              <w:rPr>
                <w:rFonts w:hint="eastAsia" w:hAnsi="宋体" w:cs="宋体"/>
              </w:rPr>
            </w:pPr>
          </w:p>
        </w:tc>
        <w:tc>
          <w:tcPr>
            <w:tcW w:w="987" w:type="pct"/>
            <w:vAlign w:val="center"/>
          </w:tcPr>
          <w:p w14:paraId="2AB5CBF8">
            <w:pPr>
              <w:pStyle w:val="19"/>
              <w:spacing w:line="360" w:lineRule="auto"/>
              <w:jc w:val="center"/>
              <w:rPr>
                <w:rFonts w:hint="eastAsia" w:hAnsi="宋体" w:cs="宋体"/>
              </w:rPr>
            </w:pPr>
          </w:p>
        </w:tc>
        <w:tc>
          <w:tcPr>
            <w:tcW w:w="1564" w:type="pct"/>
            <w:vAlign w:val="center"/>
          </w:tcPr>
          <w:p w14:paraId="4F5DADEE">
            <w:pPr>
              <w:pStyle w:val="19"/>
              <w:spacing w:line="360" w:lineRule="auto"/>
              <w:jc w:val="center"/>
              <w:rPr>
                <w:rFonts w:hint="eastAsia" w:hAnsi="宋体" w:cs="宋体"/>
              </w:rPr>
            </w:pPr>
          </w:p>
        </w:tc>
      </w:tr>
      <w:tr w14:paraId="02F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14:paraId="62BD50F8">
            <w:pPr>
              <w:pStyle w:val="19"/>
              <w:spacing w:line="360" w:lineRule="auto"/>
              <w:jc w:val="center"/>
              <w:rPr>
                <w:rFonts w:hint="eastAsia" w:hAnsi="宋体" w:cs="宋体"/>
              </w:rPr>
            </w:pPr>
            <w:r>
              <w:rPr>
                <w:rFonts w:hint="eastAsia" w:hAnsi="宋体" w:cs="宋体"/>
              </w:rPr>
              <w:t>备注</w:t>
            </w:r>
          </w:p>
        </w:tc>
        <w:tc>
          <w:tcPr>
            <w:tcW w:w="3785" w:type="pct"/>
            <w:gridSpan w:val="4"/>
            <w:vAlign w:val="center"/>
          </w:tcPr>
          <w:p w14:paraId="574EA640">
            <w:pPr>
              <w:pStyle w:val="19"/>
              <w:spacing w:line="360" w:lineRule="auto"/>
              <w:jc w:val="center"/>
              <w:rPr>
                <w:rFonts w:hint="eastAsia" w:hAnsi="宋体" w:cs="宋体"/>
              </w:rPr>
            </w:pPr>
          </w:p>
        </w:tc>
      </w:tr>
    </w:tbl>
    <w:p w14:paraId="3327A0C7">
      <w:pPr>
        <w:topLinePunct/>
        <w:autoSpaceDE w:val="0"/>
        <w:autoSpaceDN w:val="0"/>
        <w:spacing w:line="500" w:lineRule="exact"/>
        <w:rPr>
          <w:rFonts w:hint="eastAsia" w:ascii="宋体" w:hAnsi="宋体" w:eastAsia="宋体" w:cs="宋体"/>
          <w:sz w:val="24"/>
        </w:rPr>
      </w:pPr>
    </w:p>
    <w:p w14:paraId="0F3E5C63">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14:paraId="2DC72310">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5DC4103C">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41C4CDE5">
      <w:pPr>
        <w:pStyle w:val="19"/>
        <w:ind w:firstLine="420" w:firstLineChars="200"/>
        <w:rPr>
          <w:rFonts w:hint="eastAsia" w:hAnsi="宋体" w:cs="宋体"/>
        </w:rPr>
      </w:pPr>
    </w:p>
    <w:p w14:paraId="084AF7F8">
      <w:pPr>
        <w:widowControl/>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5-2 财务状况报告</w:t>
      </w:r>
    </w:p>
    <w:p w14:paraId="6E8C937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14:paraId="63E39A54">
      <w:pPr>
        <w:spacing w:line="360" w:lineRule="auto"/>
        <w:ind w:firstLine="480" w:firstLineChars="200"/>
        <w:jc w:val="left"/>
        <w:rPr>
          <w:rFonts w:hint="eastAsia" w:ascii="宋体" w:hAnsi="宋体" w:eastAsia="宋体" w:cs="宋体"/>
          <w:kern w:val="0"/>
          <w:sz w:val="24"/>
        </w:rPr>
      </w:pPr>
    </w:p>
    <w:p w14:paraId="5B4A77AF">
      <w:pPr>
        <w:spacing w:line="360" w:lineRule="auto"/>
        <w:ind w:firstLine="480" w:firstLineChars="200"/>
        <w:jc w:val="left"/>
        <w:rPr>
          <w:rFonts w:hint="eastAsia" w:ascii="宋体" w:hAnsi="宋体" w:eastAsia="宋体" w:cs="宋体"/>
          <w:kern w:val="0"/>
          <w:sz w:val="24"/>
        </w:rPr>
      </w:pPr>
    </w:p>
    <w:p w14:paraId="171DBF44">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5-3依法缴纳税收的相关材料</w:t>
      </w:r>
    </w:p>
    <w:p w14:paraId="278C38F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14:paraId="7A3A4DB7">
      <w:pPr>
        <w:spacing w:line="360" w:lineRule="auto"/>
        <w:ind w:firstLine="480" w:firstLineChars="200"/>
        <w:jc w:val="left"/>
        <w:rPr>
          <w:rFonts w:hint="eastAsia" w:ascii="宋体" w:hAnsi="宋体" w:eastAsia="宋体" w:cs="宋体"/>
          <w:kern w:val="0"/>
          <w:sz w:val="24"/>
        </w:rPr>
      </w:pPr>
    </w:p>
    <w:p w14:paraId="2922597F">
      <w:pPr>
        <w:spacing w:line="360" w:lineRule="auto"/>
        <w:ind w:firstLine="480" w:firstLineChars="200"/>
        <w:jc w:val="left"/>
        <w:rPr>
          <w:rFonts w:hint="eastAsia" w:ascii="宋体" w:hAnsi="宋体" w:eastAsia="宋体" w:cs="宋体"/>
          <w:kern w:val="0"/>
          <w:sz w:val="24"/>
        </w:rPr>
      </w:pPr>
    </w:p>
    <w:p w14:paraId="1FC65806">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5-4依法缴纳社会保障资金的相关材料</w:t>
      </w:r>
    </w:p>
    <w:p w14:paraId="54C5C394">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14:paraId="2EB44236">
      <w:pPr>
        <w:spacing w:line="360" w:lineRule="auto"/>
        <w:ind w:firstLine="480" w:firstLineChars="200"/>
        <w:jc w:val="left"/>
        <w:rPr>
          <w:rFonts w:hint="eastAsia" w:ascii="宋体" w:hAnsi="宋体" w:eastAsia="宋体" w:cs="宋体"/>
          <w:kern w:val="0"/>
          <w:sz w:val="24"/>
        </w:rPr>
      </w:pPr>
    </w:p>
    <w:p w14:paraId="7B776AD9">
      <w:pPr>
        <w:spacing w:line="360" w:lineRule="auto"/>
        <w:ind w:firstLine="480" w:firstLineChars="200"/>
        <w:jc w:val="left"/>
        <w:rPr>
          <w:rFonts w:hint="eastAsia" w:ascii="宋体" w:hAnsi="宋体" w:eastAsia="宋体" w:cs="宋体"/>
          <w:kern w:val="0"/>
          <w:sz w:val="24"/>
        </w:rPr>
      </w:pPr>
    </w:p>
    <w:p w14:paraId="74796F79">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5-5具备履行合同所必需的设备和专业技术能力的书面声明</w:t>
      </w:r>
    </w:p>
    <w:p w14:paraId="1B71286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14:paraId="71824201">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5-6参加本次政府采购活动前三年内在经营活动中</w:t>
      </w:r>
    </w:p>
    <w:p w14:paraId="09DD67FF">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没有重大违法记录的书面声明</w:t>
      </w:r>
    </w:p>
    <w:p w14:paraId="387459AB">
      <w:pPr>
        <w:spacing w:line="360" w:lineRule="auto"/>
        <w:ind w:firstLine="420" w:firstLineChars="200"/>
        <w:rPr>
          <w:rFonts w:hint="eastAsia" w:ascii="宋体" w:hAnsi="宋体" w:eastAsia="宋体" w:cs="宋体"/>
        </w:rPr>
      </w:pPr>
    </w:p>
    <w:p w14:paraId="16677AF2">
      <w:pPr>
        <w:spacing w:line="360" w:lineRule="auto"/>
        <w:rPr>
          <w:rFonts w:hint="eastAsia" w:ascii="宋体" w:hAnsi="宋体" w:eastAsia="宋体" w:cs="宋体"/>
        </w:rPr>
      </w:pPr>
      <w:r>
        <w:rPr>
          <w:rFonts w:hint="eastAsia" w:ascii="宋体" w:hAnsi="宋体" w:eastAsia="宋体" w:cs="宋体"/>
        </w:rPr>
        <w:t>致________（采购人或采购代理机构）：</w:t>
      </w:r>
    </w:p>
    <w:p w14:paraId="24CF5CCB">
      <w:pPr>
        <w:spacing w:line="360" w:lineRule="auto"/>
        <w:ind w:firstLine="420" w:firstLineChars="200"/>
        <w:rPr>
          <w:rFonts w:hint="eastAsia" w:ascii="宋体" w:hAnsi="宋体" w:eastAsia="宋体" w:cs="宋体"/>
        </w:rPr>
      </w:pPr>
      <w:r>
        <w:rPr>
          <w:rFonts w:hint="eastAsia" w:ascii="宋体" w:hAnsi="宋体" w:eastAsia="宋体" w:cs="宋体"/>
        </w:rPr>
        <w:t>我单位在参加本次采购活动前三年内在经营活动中没有《政府采购法》第二十二条第一款第（五）项所称重大违法记录，包括：</w:t>
      </w:r>
    </w:p>
    <w:p w14:paraId="74B433A7">
      <w:pPr>
        <w:spacing w:line="360" w:lineRule="auto"/>
        <w:ind w:firstLine="420" w:firstLineChars="200"/>
        <w:rPr>
          <w:rFonts w:hint="eastAsia" w:ascii="宋体" w:hAnsi="宋体" w:eastAsia="宋体" w:cs="宋体"/>
        </w:rPr>
      </w:pPr>
      <w:r>
        <w:rPr>
          <w:rFonts w:hint="eastAsia" w:ascii="宋体" w:hAnsi="宋体" w:eastAsia="宋体" w:cs="宋体"/>
        </w:rPr>
        <w:t>我单位未因经营活动中的违法行为受到刑事处罚或者责令停产停业、吊销许可证或者执照、较大数额罚款等行政处罚。</w:t>
      </w:r>
    </w:p>
    <w:p w14:paraId="2ED9163B">
      <w:pPr>
        <w:spacing w:line="360" w:lineRule="auto"/>
        <w:ind w:firstLine="420" w:firstLineChars="200"/>
        <w:rPr>
          <w:rFonts w:hint="eastAsia" w:ascii="宋体" w:hAnsi="宋体" w:eastAsia="宋体" w:cs="宋体"/>
        </w:rPr>
      </w:pPr>
      <w:r>
        <w:rPr>
          <w:rFonts w:hint="eastAsia" w:ascii="宋体" w:hAnsi="宋体" w:eastAsia="宋体" w:cs="宋体"/>
        </w:rPr>
        <w:t>特此声明！</w:t>
      </w:r>
    </w:p>
    <w:p w14:paraId="6248149E">
      <w:pPr>
        <w:spacing w:line="360" w:lineRule="auto"/>
        <w:ind w:firstLine="420" w:firstLineChars="200"/>
        <w:rPr>
          <w:rFonts w:hint="eastAsia" w:ascii="宋体" w:hAnsi="宋体" w:eastAsia="宋体" w:cs="宋体"/>
        </w:rPr>
      </w:pPr>
    </w:p>
    <w:p w14:paraId="5A08E95B">
      <w:pPr>
        <w:spacing w:line="360" w:lineRule="auto"/>
        <w:ind w:firstLine="420" w:firstLineChars="200"/>
        <w:rPr>
          <w:rFonts w:hint="eastAsia" w:ascii="宋体" w:hAnsi="宋体" w:eastAsia="宋体" w:cs="宋体"/>
        </w:rPr>
      </w:pPr>
      <w:r>
        <w:rPr>
          <w:rFonts w:hint="eastAsia" w:ascii="宋体" w:hAnsi="宋体" w:eastAsia="宋体" w:cs="宋体"/>
        </w:rPr>
        <w:t>（请投标人根据实际情况如实声明，否则视为提供虚假材料。）</w:t>
      </w:r>
    </w:p>
    <w:p w14:paraId="750E2D7C">
      <w:pPr>
        <w:spacing w:line="360" w:lineRule="auto"/>
        <w:ind w:firstLine="420" w:firstLineChars="200"/>
        <w:rPr>
          <w:rFonts w:hint="eastAsia" w:ascii="宋体" w:hAnsi="宋体" w:eastAsia="宋体" w:cs="宋体"/>
        </w:rPr>
      </w:pPr>
    </w:p>
    <w:p w14:paraId="78AF1A66">
      <w:pPr>
        <w:spacing w:line="360" w:lineRule="auto"/>
        <w:ind w:firstLine="420" w:firstLineChars="200"/>
        <w:rPr>
          <w:rFonts w:hint="eastAsia" w:ascii="宋体" w:hAnsi="宋体" w:eastAsia="宋体" w:cs="宋体"/>
        </w:rPr>
      </w:pPr>
      <w:r>
        <w:rPr>
          <w:rFonts w:hint="eastAsia" w:ascii="宋体" w:hAnsi="宋体" w:eastAsia="宋体" w:cs="宋体"/>
        </w:rPr>
        <w:t xml:space="preserve">投标人（全称并加盖公章）：             </w:t>
      </w:r>
    </w:p>
    <w:p w14:paraId="30589AAA">
      <w:pPr>
        <w:spacing w:line="360" w:lineRule="auto"/>
        <w:ind w:firstLine="420" w:firstLineChars="200"/>
        <w:rPr>
          <w:rFonts w:hint="eastAsia" w:ascii="宋体" w:hAnsi="宋体" w:eastAsia="宋体" w:cs="宋体"/>
        </w:rPr>
      </w:pPr>
      <w:r>
        <w:rPr>
          <w:rFonts w:hint="eastAsia" w:ascii="宋体" w:hAnsi="宋体" w:eastAsia="宋体" w:cs="宋体"/>
        </w:rPr>
        <w:t xml:space="preserve">投标人代表（签字或盖章）：             </w:t>
      </w:r>
    </w:p>
    <w:p w14:paraId="4E0EB806">
      <w:pPr>
        <w:spacing w:line="360" w:lineRule="auto"/>
        <w:ind w:firstLine="420" w:firstLineChars="200"/>
        <w:rPr>
          <w:rFonts w:hint="eastAsia" w:ascii="宋体" w:hAnsi="宋体" w:eastAsia="宋体" w:cs="宋体"/>
        </w:rPr>
      </w:pPr>
      <w:r>
        <w:rPr>
          <w:rFonts w:hint="eastAsia" w:ascii="宋体" w:hAnsi="宋体" w:eastAsia="宋体" w:cs="宋体"/>
        </w:rPr>
        <w:t xml:space="preserve">日期：                                 </w:t>
      </w:r>
    </w:p>
    <w:p w14:paraId="4F347B36">
      <w:pPr>
        <w:widowControl/>
        <w:jc w:val="center"/>
        <w:rPr>
          <w:rFonts w:hint="eastAsia"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bCs/>
          <w:sz w:val="28"/>
          <w:szCs w:val="28"/>
        </w:rPr>
        <w:t>5-7具备法律、行政法规规定的其他条件的证明材料</w:t>
      </w:r>
    </w:p>
    <w:p w14:paraId="0CA4B34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14:paraId="48C79E87">
      <w:pPr>
        <w:widowControl/>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5-8联合体协议（若有）</w:t>
      </w:r>
    </w:p>
    <w:p w14:paraId="326105A1">
      <w:pPr>
        <w:pStyle w:val="19"/>
        <w:topLinePunct/>
        <w:autoSpaceDE w:val="0"/>
        <w:autoSpaceDN w:val="0"/>
        <w:snapToGrid w:val="0"/>
        <w:spacing w:line="360" w:lineRule="auto"/>
        <w:jc w:val="center"/>
        <w:rPr>
          <w:rFonts w:hint="eastAsia" w:hAnsi="宋体" w:cs="宋体"/>
          <w:b/>
          <w:w w:val="150"/>
          <w:sz w:val="24"/>
        </w:rPr>
      </w:pPr>
    </w:p>
    <w:p w14:paraId="216FD3C4">
      <w:pPr>
        <w:spacing w:line="360" w:lineRule="auto"/>
        <w:rPr>
          <w:rFonts w:hint="eastAsia" w:ascii="宋体" w:hAnsi="宋体" w:eastAsia="宋体" w:cs="宋体"/>
        </w:rPr>
      </w:pPr>
      <w:r>
        <w:rPr>
          <w:rFonts w:hint="eastAsia" w:ascii="宋体" w:hAnsi="宋体" w:eastAsia="宋体" w:cs="宋体"/>
        </w:rPr>
        <w:t>致________（采购人或采购代理机构）：</w:t>
      </w:r>
    </w:p>
    <w:p w14:paraId="0E37CB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经研究，我方决定自愿组成联合体共同参加____________(项目名称、项目编号)项目的投标。现就联合体投标事宜订立如下协议：</w:t>
      </w:r>
    </w:p>
    <w:p w14:paraId="4941FE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一、联合体成员：</w:t>
      </w:r>
    </w:p>
    <w:p w14:paraId="0A0D42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1.____________________</w:t>
      </w:r>
    </w:p>
    <w:p w14:paraId="31D55CB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2.____________________</w:t>
      </w:r>
    </w:p>
    <w:p w14:paraId="07D03C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3.____________________</w:t>
      </w:r>
    </w:p>
    <w:p w14:paraId="7F2CB3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二、____________(某成员单位名称)为____________(联合体名称)牵头人。</w:t>
      </w:r>
    </w:p>
    <w:p w14:paraId="539C240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642902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四、联合体将严格按照招标文件的各项要求，递交投标文件，参加投标，履行中标义务和中标后的合同，并向采购人承担连带责任。</w:t>
      </w:r>
    </w:p>
    <w:p w14:paraId="1BFF3F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五、联合体各成员单位内部的职责分工如下：____________。按照本条上述分工，联合体成员单位各自所承担的合同工作量比例如下：____________。</w:t>
      </w:r>
    </w:p>
    <w:p w14:paraId="58F727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六、本协议书自签署之日起生效，合同履行完毕后自动失效。</w:t>
      </w:r>
    </w:p>
    <w:p w14:paraId="0063BE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七、本协议书一式______份，联合体成员和采购人各执一份。</w:t>
      </w:r>
    </w:p>
    <w:p w14:paraId="156B0A87">
      <w:pPr>
        <w:spacing w:line="360" w:lineRule="auto"/>
        <w:ind w:firstLine="420" w:firstLineChars="200"/>
        <w:rPr>
          <w:rFonts w:hint="eastAsia" w:ascii="宋体" w:hAnsi="宋体" w:eastAsia="宋体" w:cs="宋体"/>
          <w:szCs w:val="21"/>
        </w:rPr>
      </w:pPr>
    </w:p>
    <w:p w14:paraId="7C07529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牵头人名称(公章)：____________</w:t>
      </w:r>
    </w:p>
    <w:p w14:paraId="1E5F6B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法定代表人或其授权代表(签字或盖章)：____________</w:t>
      </w:r>
    </w:p>
    <w:p w14:paraId="5F34B9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成员名称(公章)：____________</w:t>
      </w:r>
    </w:p>
    <w:p w14:paraId="7D0656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法定代表人或其授权代表(签字或盖章)：____________</w:t>
      </w:r>
    </w:p>
    <w:p w14:paraId="17B59BA9">
      <w:pPr>
        <w:spacing w:line="360" w:lineRule="auto"/>
        <w:ind w:firstLine="420" w:firstLineChars="200"/>
        <w:rPr>
          <w:rFonts w:hint="eastAsia" w:ascii="宋体" w:hAnsi="宋体" w:eastAsia="宋体" w:cs="宋体"/>
          <w:szCs w:val="21"/>
        </w:rPr>
      </w:pPr>
    </w:p>
    <w:p w14:paraId="708D08CD">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______年____月____日</w:t>
      </w:r>
    </w:p>
    <w:p w14:paraId="466761D5">
      <w:pPr>
        <w:spacing w:line="360" w:lineRule="auto"/>
        <w:ind w:firstLine="420" w:firstLineChars="200"/>
        <w:rPr>
          <w:rFonts w:hint="eastAsia" w:ascii="宋体" w:hAnsi="宋体" w:eastAsia="宋体" w:cs="宋体"/>
          <w:szCs w:val="21"/>
        </w:rPr>
      </w:pPr>
    </w:p>
    <w:p w14:paraId="78503EB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备注：本协议书由授权代表签字的，应附法定代表人签字的授权委托书。</w:t>
      </w:r>
    </w:p>
    <w:p w14:paraId="24844776">
      <w:pPr>
        <w:widowControl/>
        <w:jc w:val="center"/>
        <w:rPr>
          <w:rFonts w:hint="eastAsia"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bCs/>
          <w:sz w:val="28"/>
          <w:szCs w:val="28"/>
        </w:rPr>
        <w:t>5-9其他资格证明文件（若有）</w:t>
      </w:r>
    </w:p>
    <w:p w14:paraId="24F5AE48">
      <w:pPr>
        <w:rPr>
          <w:rFonts w:hint="eastAsia" w:ascii="宋体" w:hAnsi="宋体" w:eastAsia="宋体" w:cs="宋体"/>
        </w:rPr>
      </w:pPr>
    </w:p>
    <w:p w14:paraId="6A58FAB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14:paraId="1BABDD0E">
      <w:pPr>
        <w:rPr>
          <w:rFonts w:hint="eastAsia" w:ascii="宋体" w:hAnsi="宋体" w:eastAsia="宋体" w:cs="宋体"/>
          <w:sz w:val="24"/>
        </w:rPr>
      </w:pPr>
    </w:p>
    <w:p w14:paraId="1D3F87E5">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格式6  中小企业声明函</w:t>
      </w:r>
    </w:p>
    <w:p w14:paraId="3BC417E2">
      <w:pPr>
        <w:widowControl/>
        <w:jc w:val="center"/>
        <w:rPr>
          <w:rFonts w:hint="eastAsia" w:ascii="宋体" w:hAnsi="宋体" w:eastAsia="宋体" w:cs="宋体"/>
          <w:b/>
          <w:bCs/>
          <w:sz w:val="28"/>
          <w:szCs w:val="28"/>
        </w:rPr>
      </w:pPr>
      <w:r>
        <w:rPr>
          <w:rFonts w:hint="eastAsia" w:ascii="宋体" w:hAnsi="宋体" w:eastAsia="宋体" w:cs="宋体"/>
          <w:b/>
          <w:bCs/>
          <w:sz w:val="28"/>
          <w:szCs w:val="28"/>
        </w:rPr>
        <w:t>中小企业声明函（服务）</w:t>
      </w:r>
    </w:p>
    <w:p w14:paraId="0EAC69D5">
      <w:pPr>
        <w:widowControl/>
        <w:spacing w:line="360" w:lineRule="auto"/>
        <w:ind w:firstLine="480" w:firstLineChars="200"/>
        <w:jc w:val="left"/>
        <w:rPr>
          <w:rFonts w:hint="eastAsia" w:ascii="宋体" w:hAnsi="宋体" w:eastAsia="宋体" w:cs="宋体"/>
          <w:kern w:val="0"/>
          <w:sz w:val="24"/>
        </w:rPr>
      </w:pPr>
    </w:p>
    <w:p w14:paraId="421E49B6">
      <w:pPr>
        <w:pStyle w:val="19"/>
        <w:snapToGrid w:val="0"/>
        <w:spacing w:line="360" w:lineRule="auto"/>
        <w:ind w:firstLine="420" w:firstLineChars="200"/>
        <w:rPr>
          <w:rFonts w:hint="eastAsia" w:hAnsi="宋体" w:cs="宋体"/>
        </w:rPr>
      </w:pPr>
      <w:r>
        <w:rPr>
          <w:rFonts w:hint="eastAsia" w:hAnsi="宋体" w:cs="宋体"/>
        </w:rPr>
        <w:t>本公司（联合体）郑重声明，根据《政府采购促进中小企业发展管理办法》（财库﹝2020﹞46 号）的规定，本公司（联合体）参加</w:t>
      </w:r>
      <w:r>
        <w:rPr>
          <w:rFonts w:hint="eastAsia" w:hAnsi="宋体" w:cs="宋体"/>
          <w:i/>
          <w:iCs/>
          <w:u w:val="single"/>
        </w:rPr>
        <w:t>（单位名称）</w:t>
      </w:r>
      <w:r>
        <w:rPr>
          <w:rFonts w:hint="eastAsia" w:hAnsi="宋体" w:cs="宋体"/>
        </w:rPr>
        <w:t>的</w:t>
      </w:r>
      <w:r>
        <w:rPr>
          <w:rFonts w:hint="eastAsia" w:hAnsi="宋体" w:cs="宋体"/>
          <w:i/>
          <w:iCs/>
          <w:u w:val="single"/>
        </w:rPr>
        <w:t>（项目名称）</w:t>
      </w:r>
      <w:r>
        <w:rPr>
          <w:rFonts w:hint="eastAsia" w:hAnsi="宋体" w:cs="宋体"/>
        </w:rPr>
        <w:t>采购活动，服务全部由符合政策要求的中小企业承接。相关企业（含联合体中的中小企业、签订分包意向协议的中小企业）的具体情况如下：</w:t>
      </w:r>
    </w:p>
    <w:p w14:paraId="42AC1828">
      <w:pPr>
        <w:pStyle w:val="19"/>
        <w:snapToGrid w:val="0"/>
        <w:spacing w:line="360" w:lineRule="auto"/>
        <w:ind w:firstLine="420" w:firstLineChars="200"/>
        <w:rPr>
          <w:rFonts w:hint="eastAsia" w:hAnsi="宋体" w:cs="宋体"/>
        </w:rPr>
      </w:pPr>
      <w:r>
        <w:rPr>
          <w:rFonts w:hint="eastAsia" w:hAnsi="宋体" w:cs="宋体"/>
        </w:rPr>
        <w:t>1.</w:t>
      </w:r>
      <w:r>
        <w:rPr>
          <w:rFonts w:hint="eastAsia" w:hAnsi="宋体" w:cs="宋体"/>
          <w:i/>
          <w:iCs/>
          <w:u w:val="single"/>
        </w:rPr>
        <w:t xml:space="preserve"> （标的名称） </w:t>
      </w:r>
      <w:r>
        <w:rPr>
          <w:rFonts w:hint="eastAsia" w:hAnsi="宋体" w:cs="宋体"/>
        </w:rPr>
        <w:t>，属于</w:t>
      </w:r>
      <w:r>
        <w:rPr>
          <w:rFonts w:hint="eastAsia" w:hAnsi="宋体" w:cs="宋体"/>
          <w:i/>
          <w:iCs/>
          <w:u w:val="single"/>
        </w:rPr>
        <w:t>（采购文件中明确的所属行业）</w:t>
      </w:r>
      <w:r>
        <w:rPr>
          <w:rFonts w:hint="eastAsia" w:hAnsi="宋体" w:cs="宋体"/>
        </w:rPr>
        <w:t>；承建（承接）企业为</w:t>
      </w:r>
      <w:r>
        <w:rPr>
          <w:rFonts w:hint="eastAsia" w:hAnsi="宋体" w:cs="宋体"/>
          <w:i/>
          <w:iCs/>
          <w:u w:val="single"/>
        </w:rPr>
        <w:t>（企业名称）</w:t>
      </w:r>
      <w:r>
        <w:rPr>
          <w:rFonts w:hint="eastAsia" w:hAnsi="宋体" w:cs="宋体"/>
        </w:rPr>
        <w:t>，从业人员</w:t>
      </w:r>
      <w:r>
        <w:rPr>
          <w:rFonts w:hint="eastAsia" w:hAnsi="宋体" w:cs="宋体"/>
          <w:u w:val="single"/>
        </w:rPr>
        <w:tab/>
      </w:r>
      <w:r>
        <w:rPr>
          <w:rFonts w:hint="eastAsia" w:hAnsi="宋体" w:cs="宋体"/>
          <w:u w:val="single"/>
        </w:rPr>
        <w:t xml:space="preserve">   </w:t>
      </w:r>
      <w:r>
        <w:rPr>
          <w:rFonts w:hint="eastAsia" w:hAnsi="宋体" w:cs="宋体"/>
        </w:rPr>
        <w:t>人，营业收入为</w:t>
      </w:r>
      <w:r>
        <w:rPr>
          <w:rFonts w:hint="eastAsia" w:hAnsi="宋体" w:cs="宋体"/>
          <w:u w:val="single"/>
        </w:rPr>
        <w:tab/>
      </w:r>
      <w:r>
        <w:rPr>
          <w:rFonts w:hint="eastAsia" w:hAnsi="宋体" w:cs="宋体"/>
          <w:u w:val="single"/>
        </w:rPr>
        <w:t xml:space="preserve">   </w:t>
      </w:r>
      <w:r>
        <w:rPr>
          <w:rFonts w:hint="eastAsia" w:hAnsi="宋体" w:cs="宋体"/>
        </w:rPr>
        <w:t>万元，资产总额为</w:t>
      </w:r>
      <w:r>
        <w:rPr>
          <w:rFonts w:hint="eastAsia" w:hAnsi="宋体" w:cs="宋体"/>
          <w:u w:val="single"/>
        </w:rPr>
        <w:tab/>
      </w:r>
      <w:r>
        <w:rPr>
          <w:rFonts w:hint="eastAsia" w:hAnsi="宋体" w:cs="宋体"/>
          <w:u w:val="single"/>
        </w:rPr>
        <w:t xml:space="preserve">   </w:t>
      </w:r>
      <w:r>
        <w:rPr>
          <w:rFonts w:hint="eastAsia" w:hAnsi="宋体" w:cs="宋体"/>
        </w:rPr>
        <w:t>万元</w:t>
      </w:r>
      <w:r>
        <w:rPr>
          <w:rFonts w:hint="eastAsia" w:hAnsi="宋体" w:cs="宋体"/>
          <w:vertAlign w:val="superscript"/>
        </w:rPr>
        <w:t>1</w:t>
      </w:r>
      <w:r>
        <w:rPr>
          <w:rFonts w:hint="eastAsia" w:hAnsi="宋体" w:cs="宋体"/>
        </w:rPr>
        <w:t>，属于</w:t>
      </w:r>
      <w:r>
        <w:rPr>
          <w:rFonts w:hint="eastAsia" w:hAnsi="宋体" w:cs="宋体"/>
          <w:i/>
          <w:iCs/>
          <w:u w:val="single"/>
        </w:rPr>
        <w:t>（中型企业、小型企业、微型企业）</w:t>
      </w:r>
      <w:r>
        <w:rPr>
          <w:rFonts w:hint="eastAsia" w:hAnsi="宋体" w:cs="宋体"/>
        </w:rPr>
        <w:t xml:space="preserve">； </w:t>
      </w:r>
    </w:p>
    <w:p w14:paraId="15E1B103">
      <w:pPr>
        <w:pStyle w:val="19"/>
        <w:snapToGrid w:val="0"/>
        <w:spacing w:line="360" w:lineRule="auto"/>
        <w:ind w:firstLine="420" w:firstLineChars="200"/>
        <w:rPr>
          <w:rFonts w:hint="eastAsia" w:hAnsi="宋体" w:cs="宋体"/>
        </w:rPr>
      </w:pPr>
      <w:r>
        <w:rPr>
          <w:rFonts w:hint="eastAsia" w:hAnsi="宋体" w:cs="宋体"/>
        </w:rPr>
        <w:t>2.</w:t>
      </w:r>
      <w:r>
        <w:rPr>
          <w:rFonts w:hint="eastAsia" w:hAnsi="宋体" w:cs="宋体"/>
          <w:i/>
          <w:iCs/>
          <w:u w:val="single"/>
        </w:rPr>
        <w:t xml:space="preserve"> （标的名称） </w:t>
      </w:r>
      <w:r>
        <w:rPr>
          <w:rFonts w:hint="eastAsia" w:hAnsi="宋体" w:cs="宋体"/>
        </w:rPr>
        <w:t>，属于</w:t>
      </w:r>
      <w:r>
        <w:rPr>
          <w:rFonts w:hint="eastAsia" w:hAnsi="宋体" w:cs="宋体"/>
          <w:i/>
          <w:iCs/>
          <w:u w:val="single"/>
        </w:rPr>
        <w:t>（采购文件中明确的所属行业）</w:t>
      </w:r>
      <w:r>
        <w:rPr>
          <w:rFonts w:hint="eastAsia" w:hAnsi="宋体" w:cs="宋体"/>
        </w:rPr>
        <w:t>；承建（承接）企业为</w:t>
      </w:r>
      <w:r>
        <w:rPr>
          <w:rFonts w:hint="eastAsia" w:hAnsi="宋体" w:cs="宋体"/>
          <w:i/>
          <w:iCs/>
          <w:u w:val="single"/>
        </w:rPr>
        <w:t>（企业名称）</w:t>
      </w:r>
      <w:r>
        <w:rPr>
          <w:rFonts w:hint="eastAsia" w:hAnsi="宋体" w:cs="宋体"/>
        </w:rPr>
        <w:t>，从业人员</w:t>
      </w:r>
      <w:r>
        <w:rPr>
          <w:rFonts w:hint="eastAsia" w:hAnsi="宋体" w:cs="宋体"/>
          <w:u w:val="single"/>
        </w:rPr>
        <w:tab/>
      </w:r>
      <w:r>
        <w:rPr>
          <w:rFonts w:hint="eastAsia" w:hAnsi="宋体" w:cs="宋体"/>
          <w:u w:val="single"/>
        </w:rPr>
        <w:t xml:space="preserve">   </w:t>
      </w:r>
      <w:r>
        <w:rPr>
          <w:rFonts w:hint="eastAsia" w:hAnsi="宋体" w:cs="宋体"/>
        </w:rPr>
        <w:t>人，营业收入为</w:t>
      </w:r>
      <w:r>
        <w:rPr>
          <w:rFonts w:hint="eastAsia" w:hAnsi="宋体" w:cs="宋体"/>
          <w:u w:val="single"/>
        </w:rPr>
        <w:tab/>
      </w:r>
      <w:r>
        <w:rPr>
          <w:rFonts w:hint="eastAsia" w:hAnsi="宋体" w:cs="宋体"/>
          <w:u w:val="single"/>
        </w:rPr>
        <w:t xml:space="preserve">   </w:t>
      </w:r>
      <w:r>
        <w:rPr>
          <w:rFonts w:hint="eastAsia" w:hAnsi="宋体" w:cs="宋体"/>
        </w:rPr>
        <w:t>万元，资产总额为</w:t>
      </w:r>
      <w:r>
        <w:rPr>
          <w:rFonts w:hint="eastAsia" w:hAnsi="宋体" w:cs="宋体"/>
          <w:u w:val="single"/>
        </w:rPr>
        <w:tab/>
      </w:r>
      <w:r>
        <w:rPr>
          <w:rFonts w:hint="eastAsia" w:hAnsi="宋体" w:cs="宋体"/>
          <w:u w:val="single"/>
        </w:rPr>
        <w:t xml:space="preserve">   </w:t>
      </w:r>
      <w:r>
        <w:rPr>
          <w:rFonts w:hint="eastAsia" w:hAnsi="宋体" w:cs="宋体"/>
        </w:rPr>
        <w:t>万元</w:t>
      </w:r>
      <w:r>
        <w:rPr>
          <w:rFonts w:hint="eastAsia" w:hAnsi="宋体" w:cs="宋体"/>
          <w:vertAlign w:val="superscript"/>
        </w:rPr>
        <w:t>1</w:t>
      </w:r>
      <w:r>
        <w:rPr>
          <w:rFonts w:hint="eastAsia" w:hAnsi="宋体" w:cs="宋体"/>
        </w:rPr>
        <w:t>，属于</w:t>
      </w:r>
      <w:r>
        <w:rPr>
          <w:rFonts w:hint="eastAsia" w:hAnsi="宋体" w:cs="宋体"/>
          <w:i/>
          <w:iCs/>
          <w:u w:val="single"/>
        </w:rPr>
        <w:t>（中型企业、小型企业、微型企业）</w:t>
      </w:r>
      <w:r>
        <w:rPr>
          <w:rFonts w:hint="eastAsia" w:hAnsi="宋体" w:cs="宋体"/>
        </w:rPr>
        <w:t xml:space="preserve">； </w:t>
      </w:r>
    </w:p>
    <w:p w14:paraId="0EFA6BBC">
      <w:pPr>
        <w:pStyle w:val="19"/>
        <w:snapToGrid w:val="0"/>
        <w:spacing w:line="360" w:lineRule="auto"/>
        <w:ind w:firstLine="420" w:firstLineChars="200"/>
        <w:rPr>
          <w:rFonts w:hint="eastAsia" w:hAnsi="宋体" w:cs="宋体"/>
        </w:rPr>
      </w:pPr>
      <w:r>
        <w:rPr>
          <w:rFonts w:hint="eastAsia" w:hAnsi="宋体" w:cs="宋体"/>
        </w:rPr>
        <w:t>……</w:t>
      </w:r>
    </w:p>
    <w:p w14:paraId="512D56B6">
      <w:pPr>
        <w:pStyle w:val="19"/>
        <w:snapToGrid w:val="0"/>
        <w:spacing w:line="360" w:lineRule="auto"/>
        <w:ind w:firstLine="420" w:firstLineChars="200"/>
        <w:rPr>
          <w:rFonts w:hint="eastAsia" w:hAnsi="宋体" w:cs="宋体"/>
        </w:rPr>
      </w:pPr>
      <w:r>
        <w:rPr>
          <w:rFonts w:hint="eastAsia" w:hAnsi="宋体" w:cs="宋体"/>
        </w:rPr>
        <w:t>以上企业，不属于大企业的分支机构，不存在控股股东为大企业的情形，也不存在与大企业的负责人为同一人的情形。</w:t>
      </w:r>
    </w:p>
    <w:p w14:paraId="4F067113">
      <w:pPr>
        <w:pStyle w:val="19"/>
        <w:snapToGrid w:val="0"/>
        <w:spacing w:line="360" w:lineRule="auto"/>
        <w:ind w:firstLine="420" w:firstLineChars="200"/>
        <w:rPr>
          <w:rFonts w:hint="eastAsia" w:hAnsi="宋体" w:cs="宋体"/>
        </w:rPr>
      </w:pPr>
      <w:r>
        <w:rPr>
          <w:rFonts w:hint="eastAsia" w:hAnsi="宋体" w:cs="宋体"/>
        </w:rPr>
        <w:t xml:space="preserve">本企业对上述声明内容的真实性负责。如有虚假，将依法承担相应责任。 </w:t>
      </w:r>
    </w:p>
    <w:p w14:paraId="3C3F1159">
      <w:pPr>
        <w:pStyle w:val="19"/>
        <w:snapToGrid w:val="0"/>
        <w:spacing w:line="360" w:lineRule="auto"/>
        <w:ind w:firstLine="420" w:firstLineChars="200"/>
        <w:rPr>
          <w:rFonts w:hint="eastAsia" w:hAnsi="宋体" w:cs="宋体"/>
        </w:rPr>
      </w:pPr>
    </w:p>
    <w:p w14:paraId="32A8C7D9">
      <w:pPr>
        <w:pStyle w:val="19"/>
        <w:snapToGrid w:val="0"/>
        <w:spacing w:line="360" w:lineRule="auto"/>
        <w:ind w:firstLine="420" w:firstLineChars="200"/>
        <w:rPr>
          <w:rFonts w:hint="eastAsia" w:hAnsi="宋体" w:cs="宋体"/>
        </w:rPr>
      </w:pPr>
    </w:p>
    <w:p w14:paraId="480B8171">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14:paraId="6C33ECE9">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6718A251">
      <w:pPr>
        <w:pStyle w:val="19"/>
        <w:snapToGrid w:val="0"/>
        <w:spacing w:line="360" w:lineRule="auto"/>
        <w:ind w:firstLine="480" w:firstLineChars="200"/>
        <w:rPr>
          <w:rFonts w:hint="eastAsia" w:hAnsi="宋体" w:cs="宋体"/>
          <w:sz w:val="24"/>
          <w:szCs w:val="24"/>
        </w:rPr>
      </w:pPr>
    </w:p>
    <w:p w14:paraId="28EF30F6">
      <w:pPr>
        <w:pStyle w:val="19"/>
        <w:snapToGrid w:val="0"/>
        <w:spacing w:line="360" w:lineRule="auto"/>
        <w:ind w:firstLine="480" w:firstLineChars="200"/>
        <w:rPr>
          <w:rFonts w:hint="eastAsia" w:hAnsi="宋体" w:cs="宋体"/>
          <w:sz w:val="24"/>
          <w:szCs w:val="24"/>
        </w:rPr>
      </w:pPr>
    </w:p>
    <w:p w14:paraId="0867CA17">
      <w:pPr>
        <w:widowControl/>
        <w:rPr>
          <w:rFonts w:hint="eastAsia" w:ascii="宋体" w:hAnsi="宋体" w:eastAsia="宋体" w:cs="宋体"/>
        </w:rPr>
      </w:pPr>
    </w:p>
    <w:p w14:paraId="6647A943">
      <w:pPr>
        <w:widowControl/>
        <w:numPr>
          <w:ilvl w:val="255"/>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1.从业人员、营业收入、资产总额填报上一年度数据，无上一年度数据的新成立企业可不填报。</w:t>
      </w:r>
    </w:p>
    <w:p w14:paraId="7885EA6F">
      <w:pPr>
        <w:widowControl/>
        <w:numPr>
          <w:ilvl w:val="255"/>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54B671">
      <w:pPr>
        <w:widowControl/>
        <w:numPr>
          <w:ilvl w:val="255"/>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3.投标人应当对其出具的《中小企业声明函》真实性负责，投标人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85A335F">
      <w:pPr>
        <w:pStyle w:val="19"/>
        <w:snapToGrid w:val="0"/>
        <w:spacing w:line="360" w:lineRule="auto"/>
        <w:ind w:firstLine="480" w:firstLineChars="200"/>
        <w:rPr>
          <w:rFonts w:hint="eastAsia" w:hAnsi="宋体" w:cs="宋体"/>
          <w:sz w:val="24"/>
          <w:szCs w:val="24"/>
        </w:rPr>
      </w:pPr>
    </w:p>
    <w:p w14:paraId="4E076FED">
      <w:pPr>
        <w:pStyle w:val="19"/>
        <w:topLinePunct/>
        <w:autoSpaceDE w:val="0"/>
        <w:autoSpaceDN w:val="0"/>
        <w:spacing w:line="460" w:lineRule="exact"/>
        <w:jc w:val="center"/>
        <w:rPr>
          <w:rFonts w:hint="eastAsia" w:hAnsi="宋体" w:cs="宋体"/>
          <w:b/>
          <w:bCs/>
          <w:sz w:val="28"/>
          <w:szCs w:val="28"/>
        </w:rPr>
      </w:pPr>
      <w:r>
        <w:rPr>
          <w:rFonts w:hint="eastAsia" w:ascii="宋体" w:hAnsi="宋体" w:eastAsia="宋体" w:cs="宋体"/>
          <w:sz w:val="24"/>
        </w:rPr>
        <w:br w:type="page"/>
      </w:r>
      <w:r>
        <w:rPr>
          <w:rFonts w:hint="eastAsia" w:hAnsi="宋体" w:cs="宋体"/>
          <w:b/>
          <w:bCs/>
          <w:sz w:val="28"/>
          <w:szCs w:val="28"/>
        </w:rPr>
        <w:t>格式7  残疾人福利性单位声明函</w:t>
      </w:r>
    </w:p>
    <w:p w14:paraId="432FBB53">
      <w:pPr>
        <w:pStyle w:val="19"/>
        <w:topLinePunct/>
        <w:autoSpaceDE w:val="0"/>
        <w:autoSpaceDN w:val="0"/>
        <w:spacing w:line="460" w:lineRule="exact"/>
        <w:jc w:val="center"/>
        <w:rPr>
          <w:rFonts w:hint="eastAsia" w:hAnsi="宋体" w:cs="宋体"/>
          <w:b/>
          <w:bCs/>
          <w:sz w:val="28"/>
          <w:szCs w:val="28"/>
        </w:rPr>
      </w:pPr>
    </w:p>
    <w:p w14:paraId="7F4D0644">
      <w:pPr>
        <w:pStyle w:val="73"/>
        <w:ind w:firstLine="480"/>
        <w:rPr>
          <w:rFonts w:ascii="宋体" w:hAnsi="宋体" w:cs="宋体"/>
          <w:sz w:val="18"/>
          <w:szCs w:val="18"/>
        </w:rPr>
      </w:pPr>
      <w:r>
        <w:rPr>
          <w:rFonts w:ascii="宋体" w:hAnsi="宋体" w:cs="宋体"/>
          <w:sz w:val="18"/>
          <w:szCs w:val="18"/>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CAD95A7">
      <w:pPr>
        <w:pStyle w:val="73"/>
        <w:ind w:firstLine="480"/>
        <w:rPr>
          <w:rFonts w:ascii="宋体" w:hAnsi="宋体" w:cs="宋体"/>
          <w:sz w:val="18"/>
          <w:szCs w:val="18"/>
        </w:rPr>
      </w:pPr>
      <w:r>
        <w:rPr>
          <w:rFonts w:ascii="宋体" w:hAnsi="宋体" w:cs="宋体"/>
          <w:sz w:val="18"/>
          <w:szCs w:val="18"/>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F05934C">
      <w:pPr>
        <w:pStyle w:val="73"/>
        <w:ind w:firstLine="480"/>
        <w:rPr>
          <w:rFonts w:ascii="宋体" w:hAnsi="宋体" w:cs="宋体"/>
          <w:sz w:val="18"/>
          <w:szCs w:val="18"/>
        </w:rPr>
      </w:pPr>
      <w:r>
        <w:rPr>
          <w:rFonts w:ascii="宋体" w:hAnsi="宋体" w:cs="宋体"/>
          <w:sz w:val="18"/>
          <w:szCs w:val="18"/>
        </w:rPr>
        <w:t>（ ）由本投标人承建的（填写“所投采购包、品目号”）工程</w:t>
      </w:r>
    </w:p>
    <w:p w14:paraId="1B4C6782">
      <w:pPr>
        <w:pStyle w:val="73"/>
        <w:ind w:firstLine="480"/>
        <w:rPr>
          <w:rFonts w:ascii="宋体" w:hAnsi="宋体" w:cs="宋体"/>
          <w:sz w:val="18"/>
          <w:szCs w:val="18"/>
        </w:rPr>
      </w:pPr>
      <w:r>
        <w:rPr>
          <w:rFonts w:ascii="宋体" w:hAnsi="宋体" w:cs="宋体"/>
          <w:sz w:val="18"/>
          <w:szCs w:val="18"/>
        </w:rPr>
        <w:t>（ ）由本投标人承接的（填写“所投采购包、品目号”）服务；</w:t>
      </w:r>
    </w:p>
    <w:p w14:paraId="7CB2772B">
      <w:pPr>
        <w:pStyle w:val="73"/>
        <w:ind w:firstLine="480"/>
        <w:rPr>
          <w:rFonts w:ascii="宋体" w:hAnsi="宋体" w:cs="宋体"/>
          <w:sz w:val="18"/>
          <w:szCs w:val="18"/>
        </w:rPr>
      </w:pPr>
      <w:r>
        <w:rPr>
          <w:rFonts w:ascii="宋体" w:hAnsi="宋体" w:cs="宋体"/>
          <w:sz w:val="18"/>
          <w:szCs w:val="18"/>
        </w:rPr>
        <w:t>本投标人对上述声明的真实性负责。如有虚假，将依法承担相应责任。</w:t>
      </w:r>
    </w:p>
    <w:p w14:paraId="57672E7E">
      <w:pPr>
        <w:pStyle w:val="73"/>
        <w:ind w:firstLine="480"/>
        <w:rPr>
          <w:rFonts w:ascii="宋体" w:hAnsi="宋体" w:cs="宋体"/>
          <w:sz w:val="18"/>
          <w:szCs w:val="18"/>
        </w:rPr>
      </w:pPr>
      <w:r>
        <w:rPr>
          <w:rFonts w:ascii="宋体" w:hAnsi="宋体" w:cs="宋体"/>
          <w:sz w:val="18"/>
          <w:szCs w:val="18"/>
        </w:rPr>
        <w:t>备注：</w:t>
      </w:r>
    </w:p>
    <w:p w14:paraId="5E430F5A">
      <w:pPr>
        <w:pStyle w:val="73"/>
        <w:ind w:firstLine="480"/>
        <w:rPr>
          <w:rFonts w:ascii="宋体" w:hAnsi="宋体" w:cs="宋体"/>
          <w:sz w:val="18"/>
          <w:szCs w:val="18"/>
        </w:rPr>
      </w:pPr>
      <w:r>
        <w:rPr>
          <w:rFonts w:ascii="宋体" w:hAnsi="宋体" w:cs="宋体"/>
          <w:sz w:val="18"/>
          <w:szCs w:val="18"/>
        </w:rPr>
        <w:t>1、请投标人按照实际情况编制填写本声明函，并在相应的（）中打“√”。</w:t>
      </w:r>
    </w:p>
    <w:p w14:paraId="58D556A6">
      <w:pPr>
        <w:pStyle w:val="73"/>
        <w:ind w:firstLine="480"/>
        <w:rPr>
          <w:rFonts w:ascii="宋体" w:hAnsi="宋体" w:cs="宋体"/>
          <w:sz w:val="18"/>
          <w:szCs w:val="18"/>
        </w:rPr>
      </w:pPr>
      <w:r>
        <w:rPr>
          <w:rFonts w:ascii="宋体" w:hAnsi="宋体" w:cs="宋体"/>
          <w:sz w:val="18"/>
          <w:szCs w:val="18"/>
        </w:rPr>
        <w:t>2、若《残疾人福利性单位声明函》内容不真实，视为提供虚假材料。</w:t>
      </w:r>
    </w:p>
    <w:p w14:paraId="24F80FC7">
      <w:pPr>
        <w:pStyle w:val="73"/>
        <w:ind w:firstLine="480"/>
        <w:jc w:val="right"/>
        <w:rPr>
          <w:rFonts w:ascii="宋体" w:hAnsi="宋体" w:cs="宋体"/>
        </w:rPr>
      </w:pPr>
      <w:r>
        <w:rPr>
          <w:rFonts w:ascii="宋体" w:hAnsi="宋体" w:cs="宋体"/>
        </w:rPr>
        <w:t>投标人：</w:t>
      </w:r>
      <w:r>
        <w:rPr>
          <w:rFonts w:ascii="宋体" w:hAnsi="宋体" w:cs="宋体"/>
          <w:u w:val="single"/>
        </w:rPr>
        <w:t>（全称并加盖单位公章）</w:t>
      </w:r>
    </w:p>
    <w:p w14:paraId="3015D2D2">
      <w:pPr>
        <w:pStyle w:val="73"/>
        <w:ind w:firstLine="480"/>
        <w:jc w:val="right"/>
        <w:rPr>
          <w:rFonts w:ascii="宋体" w:hAnsi="宋体" w:cs="宋体"/>
        </w:rPr>
      </w:pPr>
      <w:r>
        <w:rPr>
          <w:rFonts w:ascii="宋体" w:hAnsi="宋体" w:cs="宋体"/>
        </w:rPr>
        <w:t>日期：</w:t>
      </w:r>
      <w:r>
        <w:rPr>
          <w:rFonts w:ascii="宋体" w:hAnsi="宋体" w:cs="宋体"/>
          <w:u w:val="single"/>
        </w:rPr>
        <w:t>　　年　　月　　日</w:t>
      </w:r>
    </w:p>
    <w:p w14:paraId="60016FC3">
      <w:pPr>
        <w:pStyle w:val="73"/>
        <w:ind w:firstLine="960"/>
        <w:jc w:val="center"/>
        <w:rPr>
          <w:rFonts w:ascii="仿宋_GB2312" w:hAnsi="仿宋_GB2312" w:eastAsia="仿宋_GB2312" w:cs="仿宋_GB2312"/>
          <w:b/>
          <w:sz w:val="24"/>
        </w:rPr>
      </w:pPr>
    </w:p>
    <w:p w14:paraId="768FA2E1">
      <w:pPr>
        <w:pStyle w:val="73"/>
        <w:ind w:firstLine="960"/>
        <w:jc w:val="center"/>
        <w:rPr>
          <w:rFonts w:ascii="仿宋_GB2312" w:hAnsi="仿宋_GB2312" w:eastAsia="仿宋_GB2312" w:cs="仿宋_GB2312"/>
          <w:b/>
          <w:sz w:val="24"/>
        </w:rPr>
      </w:pPr>
    </w:p>
    <w:p w14:paraId="5DF091BB">
      <w:pPr>
        <w:pStyle w:val="73"/>
        <w:ind w:firstLine="960"/>
        <w:jc w:val="center"/>
        <w:rPr>
          <w:rFonts w:ascii="仿宋_GB2312" w:hAnsi="仿宋_GB2312" w:eastAsia="仿宋_GB2312" w:cs="仿宋_GB2312"/>
          <w:b/>
          <w:sz w:val="24"/>
        </w:rPr>
      </w:pPr>
    </w:p>
    <w:p w14:paraId="0D300328">
      <w:pPr>
        <w:pStyle w:val="73"/>
        <w:ind w:firstLine="960"/>
        <w:jc w:val="center"/>
        <w:rPr>
          <w:rFonts w:hint="default"/>
        </w:rPr>
      </w:pPr>
      <w:r>
        <w:rPr>
          <w:rFonts w:ascii="仿宋_GB2312" w:hAnsi="仿宋_GB2312" w:eastAsia="仿宋_GB2312" w:cs="仿宋_GB2312"/>
          <w:b/>
          <w:sz w:val="24"/>
        </w:rPr>
        <w:t>监狱企业证明材料</w:t>
      </w:r>
    </w:p>
    <w:p w14:paraId="1FD6A03B">
      <w:pPr>
        <w:topLinePunct/>
        <w:autoSpaceDE w:val="0"/>
        <w:autoSpaceDN w:val="0"/>
        <w:spacing w:line="460" w:lineRule="exact"/>
        <w:jc w:val="center"/>
        <w:rPr>
          <w:rFonts w:hint="eastAsia" w:ascii="宋体" w:hAnsi="宋体" w:eastAsia="宋体" w:cs="宋体"/>
          <w:spacing w:val="6"/>
          <w:szCs w:val="21"/>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713B9848">
      <w:pPr>
        <w:rPr>
          <w:rFonts w:hint="eastAsia" w:ascii="宋体" w:hAnsi="宋体" w:eastAsia="宋体" w:cs="宋体"/>
          <w:b/>
          <w:bCs/>
          <w:sz w:val="28"/>
          <w:szCs w:val="28"/>
        </w:rPr>
      </w:pPr>
    </w:p>
    <w:p w14:paraId="1607CEEB">
      <w:pPr>
        <w:pStyle w:val="71"/>
        <w:tabs>
          <w:tab w:val="left" w:pos="420"/>
        </w:tabs>
        <w:snapToGrid w:val="0"/>
        <w:spacing w:line="460" w:lineRule="atLeast"/>
        <w:rPr>
          <w:rFonts w:hint="eastAsia" w:ascii="宋体" w:hAnsi="宋体" w:eastAsia="宋体" w:cs="宋体"/>
          <w:b/>
          <w:bCs/>
          <w:sz w:val="28"/>
          <w:szCs w:val="28"/>
        </w:rPr>
      </w:pPr>
      <w:bookmarkStart w:id="37" w:name="_Toc113393336"/>
      <w:bookmarkStart w:id="38" w:name="_Toc1652355655"/>
      <w:bookmarkStart w:id="39" w:name="_Toc38030071"/>
      <w:bookmarkStart w:id="40" w:name="_Toc386861148"/>
      <w:bookmarkStart w:id="41" w:name="_Toc38030154"/>
      <w:bookmarkStart w:id="42" w:name="_Toc1403531177"/>
      <w:r>
        <w:rPr>
          <w:rFonts w:hint="eastAsia" w:ascii="宋体" w:hAnsi="宋体" w:eastAsia="宋体" w:cs="宋体"/>
          <w:sz w:val="28"/>
          <w:szCs w:val="28"/>
        </w:rPr>
        <w:br w:type="page"/>
      </w:r>
      <w:bookmarkStart w:id="43" w:name="_Toc681730266"/>
      <w:bookmarkStart w:id="44" w:name="_Toc680706022"/>
      <w:bookmarkStart w:id="45" w:name="_Toc220361175"/>
      <w:bookmarkStart w:id="46" w:name="_Toc78504842"/>
      <w:bookmarkStart w:id="47" w:name="_Toc1381122819"/>
      <w:bookmarkStart w:id="48" w:name="_Toc1097421187"/>
      <w:bookmarkStart w:id="49" w:name="_Toc598152851"/>
      <w:bookmarkStart w:id="50" w:name="_Toc1749127877"/>
      <w:bookmarkStart w:id="51" w:name="_Toc1615545750"/>
      <w:r>
        <w:rPr>
          <w:rFonts w:hint="eastAsia" w:ascii="宋体" w:hAnsi="宋体" w:eastAsia="宋体" w:cs="宋体"/>
          <w:b/>
          <w:bCs/>
          <w:sz w:val="28"/>
          <w:szCs w:val="28"/>
        </w:rPr>
        <w:t>格式8 成功案例一览表</w:t>
      </w:r>
      <w:bookmarkEnd w:id="43"/>
      <w:bookmarkEnd w:id="44"/>
      <w:bookmarkEnd w:id="45"/>
      <w:bookmarkEnd w:id="46"/>
      <w:bookmarkEnd w:id="47"/>
      <w:bookmarkEnd w:id="48"/>
      <w:bookmarkEnd w:id="49"/>
      <w:bookmarkEnd w:id="50"/>
      <w:bookmarkEnd w:id="51"/>
    </w:p>
    <w:p w14:paraId="7067391C">
      <w:pPr>
        <w:jc w:val="center"/>
        <w:rPr>
          <w:rFonts w:hint="eastAsia" w:ascii="宋体" w:hAnsi="宋体" w:eastAsia="宋体" w:cs="宋体"/>
        </w:rPr>
      </w:pPr>
      <w:r>
        <w:rPr>
          <w:rFonts w:hint="eastAsia" w:ascii="宋体" w:hAnsi="宋体" w:eastAsia="宋体" w:cs="宋体"/>
        </w:rPr>
        <w:t>（根据招标文件要求调整）</w:t>
      </w:r>
    </w:p>
    <w:tbl>
      <w:tblPr>
        <w:tblStyle w:val="2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14:paraId="6A96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6A1188ED">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14:paraId="337B5818">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合同</w:t>
            </w:r>
          </w:p>
          <w:p w14:paraId="676B5EC3">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14:paraId="3F922473">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合同</w:t>
            </w:r>
          </w:p>
          <w:p w14:paraId="2EA92648">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14:paraId="09D246CF">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14:paraId="14E0CA05">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合同</w:t>
            </w:r>
          </w:p>
          <w:p w14:paraId="7E1A7C9E">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14:paraId="2A07EF04">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合同主要</w:t>
            </w:r>
          </w:p>
          <w:p w14:paraId="13579CD1">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14:paraId="23FB4CD9">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用  户</w:t>
            </w:r>
          </w:p>
          <w:p w14:paraId="604FD927">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14:paraId="76BF903E">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用户联</w:t>
            </w:r>
          </w:p>
          <w:p w14:paraId="68A1533A">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14:paraId="1BE21FB7">
            <w:pPr>
              <w:topLinePunct/>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2840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637F493B">
            <w:pPr>
              <w:topLinePunct/>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819" w:type="dxa"/>
            <w:tcBorders>
              <w:top w:val="single" w:color="auto" w:sz="4" w:space="0"/>
              <w:left w:val="single" w:color="auto" w:sz="4" w:space="0"/>
              <w:bottom w:val="single" w:color="auto" w:sz="4" w:space="0"/>
              <w:right w:val="single" w:color="auto" w:sz="4" w:space="0"/>
            </w:tcBorders>
            <w:noWrap/>
            <w:vAlign w:val="center"/>
          </w:tcPr>
          <w:p w14:paraId="3B0236BA">
            <w:pPr>
              <w:topLinePunct/>
              <w:autoSpaceDE w:val="0"/>
              <w:autoSpaceDN w:val="0"/>
              <w:adjustRightInd w:val="0"/>
              <w:snapToGrid w:val="0"/>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07A9CD03">
            <w:pPr>
              <w:topLinePunct/>
              <w:autoSpaceDE w:val="0"/>
              <w:autoSpaceDN w:val="0"/>
              <w:adjustRightInd w:val="0"/>
              <w:snapToGrid w:val="0"/>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14:paraId="0D17A649">
            <w:pPr>
              <w:topLinePunct/>
              <w:autoSpaceDE w:val="0"/>
              <w:autoSpaceDN w:val="0"/>
              <w:adjustRightInd w:val="0"/>
              <w:snapToGrid w:val="0"/>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1B538249">
            <w:pPr>
              <w:topLinePunct/>
              <w:autoSpaceDE w:val="0"/>
              <w:autoSpaceDN w:val="0"/>
              <w:adjustRightInd w:val="0"/>
              <w:snapToGrid w:val="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7111D2F7">
            <w:pPr>
              <w:topLinePunct/>
              <w:autoSpaceDE w:val="0"/>
              <w:autoSpaceDN w:val="0"/>
              <w:adjustRightInd w:val="0"/>
              <w:snapToGrid w:val="0"/>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162D361E">
            <w:pPr>
              <w:topLinePunct/>
              <w:autoSpaceDE w:val="0"/>
              <w:autoSpaceDN w:val="0"/>
              <w:adjustRightInd w:val="0"/>
              <w:snapToGrid w:val="0"/>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25D58B1">
            <w:pPr>
              <w:topLinePunct/>
              <w:autoSpaceDE w:val="0"/>
              <w:autoSpaceDN w:val="0"/>
              <w:adjustRightInd w:val="0"/>
              <w:snapToGrid w:val="0"/>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58393449">
            <w:pPr>
              <w:topLinePunct/>
              <w:autoSpaceDE w:val="0"/>
              <w:autoSpaceDN w:val="0"/>
              <w:adjustRightInd w:val="0"/>
              <w:snapToGrid w:val="0"/>
              <w:jc w:val="center"/>
              <w:rPr>
                <w:rFonts w:hint="eastAsia" w:ascii="宋体" w:hAnsi="宋体" w:eastAsia="宋体" w:cs="宋体"/>
                <w:szCs w:val="21"/>
              </w:rPr>
            </w:pPr>
          </w:p>
        </w:tc>
      </w:tr>
      <w:tr w14:paraId="3F2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654CD664">
            <w:pPr>
              <w:topLinePunct/>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819" w:type="dxa"/>
            <w:tcBorders>
              <w:top w:val="single" w:color="auto" w:sz="4" w:space="0"/>
              <w:left w:val="single" w:color="auto" w:sz="4" w:space="0"/>
              <w:bottom w:val="single" w:color="auto" w:sz="4" w:space="0"/>
              <w:right w:val="single" w:color="auto" w:sz="4" w:space="0"/>
            </w:tcBorders>
            <w:noWrap/>
            <w:vAlign w:val="center"/>
          </w:tcPr>
          <w:p w14:paraId="4C6B7193">
            <w:pPr>
              <w:topLinePunct/>
              <w:autoSpaceDE w:val="0"/>
              <w:autoSpaceDN w:val="0"/>
              <w:adjustRightInd w:val="0"/>
              <w:snapToGrid w:val="0"/>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3228BE17">
            <w:pPr>
              <w:topLinePunct/>
              <w:autoSpaceDE w:val="0"/>
              <w:autoSpaceDN w:val="0"/>
              <w:adjustRightInd w:val="0"/>
              <w:snapToGrid w:val="0"/>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14:paraId="0A888728">
            <w:pPr>
              <w:topLinePunct/>
              <w:autoSpaceDE w:val="0"/>
              <w:autoSpaceDN w:val="0"/>
              <w:adjustRightInd w:val="0"/>
              <w:snapToGrid w:val="0"/>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5CA7236F">
            <w:pPr>
              <w:topLinePunct/>
              <w:autoSpaceDE w:val="0"/>
              <w:autoSpaceDN w:val="0"/>
              <w:adjustRightInd w:val="0"/>
              <w:snapToGrid w:val="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06B2FA4C">
            <w:pPr>
              <w:topLinePunct/>
              <w:autoSpaceDE w:val="0"/>
              <w:autoSpaceDN w:val="0"/>
              <w:adjustRightInd w:val="0"/>
              <w:snapToGrid w:val="0"/>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5BEF098D">
            <w:pPr>
              <w:topLinePunct/>
              <w:autoSpaceDE w:val="0"/>
              <w:autoSpaceDN w:val="0"/>
              <w:adjustRightInd w:val="0"/>
              <w:snapToGrid w:val="0"/>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495C628">
            <w:pPr>
              <w:topLinePunct/>
              <w:autoSpaceDE w:val="0"/>
              <w:autoSpaceDN w:val="0"/>
              <w:adjustRightInd w:val="0"/>
              <w:snapToGrid w:val="0"/>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0C0F0C02">
            <w:pPr>
              <w:topLinePunct/>
              <w:autoSpaceDE w:val="0"/>
              <w:autoSpaceDN w:val="0"/>
              <w:adjustRightInd w:val="0"/>
              <w:snapToGrid w:val="0"/>
              <w:jc w:val="center"/>
              <w:rPr>
                <w:rFonts w:hint="eastAsia" w:ascii="宋体" w:hAnsi="宋体" w:eastAsia="宋体" w:cs="宋体"/>
                <w:szCs w:val="21"/>
              </w:rPr>
            </w:pPr>
          </w:p>
        </w:tc>
      </w:tr>
      <w:tr w14:paraId="772B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3F75A8E1">
            <w:pPr>
              <w:topLinePunct/>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819" w:type="dxa"/>
            <w:tcBorders>
              <w:top w:val="single" w:color="auto" w:sz="4" w:space="0"/>
              <w:left w:val="single" w:color="auto" w:sz="4" w:space="0"/>
              <w:bottom w:val="single" w:color="auto" w:sz="4" w:space="0"/>
              <w:right w:val="single" w:color="auto" w:sz="4" w:space="0"/>
            </w:tcBorders>
            <w:noWrap/>
            <w:vAlign w:val="center"/>
          </w:tcPr>
          <w:p w14:paraId="4DD039DA">
            <w:pPr>
              <w:topLinePunct/>
              <w:autoSpaceDE w:val="0"/>
              <w:autoSpaceDN w:val="0"/>
              <w:adjustRightInd w:val="0"/>
              <w:snapToGrid w:val="0"/>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0A6AD855">
            <w:pPr>
              <w:topLinePunct/>
              <w:autoSpaceDE w:val="0"/>
              <w:autoSpaceDN w:val="0"/>
              <w:adjustRightInd w:val="0"/>
              <w:snapToGrid w:val="0"/>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14:paraId="7ADFE267">
            <w:pPr>
              <w:topLinePunct/>
              <w:autoSpaceDE w:val="0"/>
              <w:autoSpaceDN w:val="0"/>
              <w:adjustRightInd w:val="0"/>
              <w:snapToGrid w:val="0"/>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18A11FB">
            <w:pPr>
              <w:topLinePunct/>
              <w:autoSpaceDE w:val="0"/>
              <w:autoSpaceDN w:val="0"/>
              <w:adjustRightInd w:val="0"/>
              <w:snapToGrid w:val="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3E172AA3">
            <w:pPr>
              <w:topLinePunct/>
              <w:autoSpaceDE w:val="0"/>
              <w:autoSpaceDN w:val="0"/>
              <w:adjustRightInd w:val="0"/>
              <w:snapToGrid w:val="0"/>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5B4BDDD2">
            <w:pPr>
              <w:topLinePunct/>
              <w:autoSpaceDE w:val="0"/>
              <w:autoSpaceDN w:val="0"/>
              <w:adjustRightInd w:val="0"/>
              <w:snapToGrid w:val="0"/>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FBE6B6F">
            <w:pPr>
              <w:topLinePunct/>
              <w:autoSpaceDE w:val="0"/>
              <w:autoSpaceDN w:val="0"/>
              <w:adjustRightInd w:val="0"/>
              <w:snapToGrid w:val="0"/>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78EBFD71">
            <w:pPr>
              <w:topLinePunct/>
              <w:autoSpaceDE w:val="0"/>
              <w:autoSpaceDN w:val="0"/>
              <w:adjustRightInd w:val="0"/>
              <w:snapToGrid w:val="0"/>
              <w:jc w:val="center"/>
              <w:rPr>
                <w:rFonts w:hint="eastAsia" w:ascii="宋体" w:hAnsi="宋体" w:eastAsia="宋体" w:cs="宋体"/>
                <w:szCs w:val="21"/>
              </w:rPr>
            </w:pPr>
          </w:p>
        </w:tc>
      </w:tr>
      <w:tr w14:paraId="6D60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0F069D36">
            <w:pPr>
              <w:topLinePunct/>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819" w:type="dxa"/>
            <w:tcBorders>
              <w:top w:val="single" w:color="auto" w:sz="4" w:space="0"/>
              <w:left w:val="single" w:color="auto" w:sz="4" w:space="0"/>
              <w:bottom w:val="single" w:color="auto" w:sz="4" w:space="0"/>
              <w:right w:val="single" w:color="auto" w:sz="4" w:space="0"/>
            </w:tcBorders>
            <w:noWrap/>
            <w:vAlign w:val="center"/>
          </w:tcPr>
          <w:p w14:paraId="0069E3E3">
            <w:pPr>
              <w:topLinePunct/>
              <w:autoSpaceDE w:val="0"/>
              <w:autoSpaceDN w:val="0"/>
              <w:adjustRightInd w:val="0"/>
              <w:snapToGrid w:val="0"/>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6DD53BFB">
            <w:pPr>
              <w:topLinePunct/>
              <w:autoSpaceDE w:val="0"/>
              <w:autoSpaceDN w:val="0"/>
              <w:adjustRightInd w:val="0"/>
              <w:snapToGrid w:val="0"/>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14:paraId="68D6E69D">
            <w:pPr>
              <w:topLinePunct/>
              <w:autoSpaceDE w:val="0"/>
              <w:autoSpaceDN w:val="0"/>
              <w:adjustRightInd w:val="0"/>
              <w:snapToGrid w:val="0"/>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6E3A9A02">
            <w:pPr>
              <w:topLinePunct/>
              <w:autoSpaceDE w:val="0"/>
              <w:autoSpaceDN w:val="0"/>
              <w:adjustRightInd w:val="0"/>
              <w:snapToGrid w:val="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09656B65">
            <w:pPr>
              <w:topLinePunct/>
              <w:autoSpaceDE w:val="0"/>
              <w:autoSpaceDN w:val="0"/>
              <w:adjustRightInd w:val="0"/>
              <w:snapToGrid w:val="0"/>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3E0F500F">
            <w:pPr>
              <w:topLinePunct/>
              <w:autoSpaceDE w:val="0"/>
              <w:autoSpaceDN w:val="0"/>
              <w:adjustRightInd w:val="0"/>
              <w:snapToGrid w:val="0"/>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DC4156A">
            <w:pPr>
              <w:topLinePunct/>
              <w:autoSpaceDE w:val="0"/>
              <w:autoSpaceDN w:val="0"/>
              <w:adjustRightInd w:val="0"/>
              <w:snapToGrid w:val="0"/>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73B78A0C">
            <w:pPr>
              <w:topLinePunct/>
              <w:autoSpaceDE w:val="0"/>
              <w:autoSpaceDN w:val="0"/>
              <w:adjustRightInd w:val="0"/>
              <w:snapToGrid w:val="0"/>
              <w:jc w:val="center"/>
              <w:rPr>
                <w:rFonts w:hint="eastAsia" w:ascii="宋体" w:hAnsi="宋体" w:eastAsia="宋体" w:cs="宋体"/>
                <w:szCs w:val="21"/>
              </w:rPr>
            </w:pPr>
          </w:p>
        </w:tc>
      </w:tr>
      <w:tr w14:paraId="11CB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7AA1CE89">
            <w:pPr>
              <w:topLinePunct/>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819" w:type="dxa"/>
            <w:tcBorders>
              <w:top w:val="single" w:color="auto" w:sz="4" w:space="0"/>
              <w:left w:val="single" w:color="auto" w:sz="4" w:space="0"/>
              <w:bottom w:val="single" w:color="auto" w:sz="4" w:space="0"/>
              <w:right w:val="single" w:color="auto" w:sz="4" w:space="0"/>
            </w:tcBorders>
            <w:noWrap/>
            <w:vAlign w:val="center"/>
          </w:tcPr>
          <w:p w14:paraId="4BC2D90F">
            <w:pPr>
              <w:topLinePunct/>
              <w:autoSpaceDE w:val="0"/>
              <w:autoSpaceDN w:val="0"/>
              <w:adjustRightInd w:val="0"/>
              <w:snapToGrid w:val="0"/>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1EAC1C94">
            <w:pPr>
              <w:topLinePunct/>
              <w:autoSpaceDE w:val="0"/>
              <w:autoSpaceDN w:val="0"/>
              <w:adjustRightInd w:val="0"/>
              <w:snapToGrid w:val="0"/>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14:paraId="12CD7EC9">
            <w:pPr>
              <w:topLinePunct/>
              <w:autoSpaceDE w:val="0"/>
              <w:autoSpaceDN w:val="0"/>
              <w:adjustRightInd w:val="0"/>
              <w:snapToGrid w:val="0"/>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100E51B9">
            <w:pPr>
              <w:topLinePunct/>
              <w:autoSpaceDE w:val="0"/>
              <w:autoSpaceDN w:val="0"/>
              <w:adjustRightInd w:val="0"/>
              <w:snapToGrid w:val="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02EC54C9">
            <w:pPr>
              <w:topLinePunct/>
              <w:autoSpaceDE w:val="0"/>
              <w:autoSpaceDN w:val="0"/>
              <w:adjustRightInd w:val="0"/>
              <w:snapToGrid w:val="0"/>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203FE331">
            <w:pPr>
              <w:topLinePunct/>
              <w:autoSpaceDE w:val="0"/>
              <w:autoSpaceDN w:val="0"/>
              <w:adjustRightInd w:val="0"/>
              <w:snapToGrid w:val="0"/>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33B90F66">
            <w:pPr>
              <w:topLinePunct/>
              <w:autoSpaceDE w:val="0"/>
              <w:autoSpaceDN w:val="0"/>
              <w:adjustRightInd w:val="0"/>
              <w:snapToGrid w:val="0"/>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6A0169F6">
            <w:pPr>
              <w:topLinePunct/>
              <w:autoSpaceDE w:val="0"/>
              <w:autoSpaceDN w:val="0"/>
              <w:adjustRightInd w:val="0"/>
              <w:snapToGrid w:val="0"/>
              <w:jc w:val="center"/>
              <w:rPr>
                <w:rFonts w:hint="eastAsia" w:ascii="宋体" w:hAnsi="宋体" w:eastAsia="宋体" w:cs="宋体"/>
                <w:szCs w:val="21"/>
              </w:rPr>
            </w:pPr>
          </w:p>
        </w:tc>
      </w:tr>
      <w:tr w14:paraId="098C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4CC11F39">
            <w:pPr>
              <w:topLinePunct/>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w:t>
            </w:r>
          </w:p>
        </w:tc>
        <w:tc>
          <w:tcPr>
            <w:tcW w:w="819" w:type="dxa"/>
            <w:tcBorders>
              <w:top w:val="single" w:color="auto" w:sz="4" w:space="0"/>
              <w:left w:val="single" w:color="auto" w:sz="4" w:space="0"/>
              <w:bottom w:val="single" w:color="auto" w:sz="4" w:space="0"/>
              <w:right w:val="single" w:color="auto" w:sz="4" w:space="0"/>
            </w:tcBorders>
            <w:noWrap/>
            <w:vAlign w:val="center"/>
          </w:tcPr>
          <w:p w14:paraId="750FF35B">
            <w:pPr>
              <w:topLinePunct/>
              <w:autoSpaceDE w:val="0"/>
              <w:autoSpaceDN w:val="0"/>
              <w:adjustRightInd w:val="0"/>
              <w:snapToGrid w:val="0"/>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3FABDBD9">
            <w:pPr>
              <w:topLinePunct/>
              <w:autoSpaceDE w:val="0"/>
              <w:autoSpaceDN w:val="0"/>
              <w:adjustRightInd w:val="0"/>
              <w:snapToGrid w:val="0"/>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14:paraId="0089691C">
            <w:pPr>
              <w:topLinePunct/>
              <w:autoSpaceDE w:val="0"/>
              <w:autoSpaceDN w:val="0"/>
              <w:adjustRightInd w:val="0"/>
              <w:snapToGrid w:val="0"/>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5DDA1C4C">
            <w:pPr>
              <w:topLinePunct/>
              <w:autoSpaceDE w:val="0"/>
              <w:autoSpaceDN w:val="0"/>
              <w:adjustRightInd w:val="0"/>
              <w:snapToGrid w:val="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2369AC9A">
            <w:pPr>
              <w:topLinePunct/>
              <w:autoSpaceDE w:val="0"/>
              <w:autoSpaceDN w:val="0"/>
              <w:adjustRightInd w:val="0"/>
              <w:snapToGrid w:val="0"/>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7BB9D8C4">
            <w:pPr>
              <w:topLinePunct/>
              <w:autoSpaceDE w:val="0"/>
              <w:autoSpaceDN w:val="0"/>
              <w:adjustRightInd w:val="0"/>
              <w:snapToGrid w:val="0"/>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2E3FED7">
            <w:pPr>
              <w:topLinePunct/>
              <w:autoSpaceDE w:val="0"/>
              <w:autoSpaceDN w:val="0"/>
              <w:adjustRightInd w:val="0"/>
              <w:snapToGrid w:val="0"/>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393A8403">
            <w:pPr>
              <w:topLinePunct/>
              <w:autoSpaceDE w:val="0"/>
              <w:autoSpaceDN w:val="0"/>
              <w:adjustRightInd w:val="0"/>
              <w:snapToGrid w:val="0"/>
              <w:jc w:val="center"/>
              <w:rPr>
                <w:rFonts w:hint="eastAsia" w:ascii="宋体" w:hAnsi="宋体" w:eastAsia="宋体" w:cs="宋体"/>
                <w:szCs w:val="21"/>
              </w:rPr>
            </w:pPr>
          </w:p>
        </w:tc>
      </w:tr>
    </w:tbl>
    <w:p w14:paraId="5C1D5BD5">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4C448D4E">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1.提供20XX年1月1日以来（以合同签订日期为准），投标人独立承担的XXXX的项目案例。</w:t>
      </w:r>
    </w:p>
    <w:bookmarkEnd w:id="37"/>
    <w:bookmarkEnd w:id="38"/>
    <w:bookmarkEnd w:id="39"/>
    <w:bookmarkEnd w:id="40"/>
    <w:bookmarkEnd w:id="41"/>
    <w:bookmarkEnd w:id="42"/>
    <w:p w14:paraId="2A13FE0E">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2.应提供合同复印件（线上采购项目提供扫描件，下同）。合同复印件应能清晰体现合同甲乙双方、合同时间、合同金额、合同主要内容等，并提供对方联系人及联系方式，否则不能获得相应分值。</w:t>
      </w:r>
    </w:p>
    <w:p w14:paraId="6121A021">
      <w:pPr>
        <w:pStyle w:val="19"/>
        <w:topLinePunct/>
        <w:autoSpaceDE w:val="0"/>
        <w:autoSpaceDN w:val="0"/>
        <w:spacing w:line="460" w:lineRule="exact"/>
        <w:jc w:val="center"/>
        <w:rPr>
          <w:rFonts w:hint="eastAsia" w:hAnsi="宋体" w:cs="宋体"/>
          <w:b/>
          <w:bCs/>
          <w:sz w:val="36"/>
          <w:szCs w:val="36"/>
        </w:rPr>
      </w:pPr>
    </w:p>
    <w:p w14:paraId="59294C15">
      <w:pPr>
        <w:rPr>
          <w:rFonts w:hint="eastAsia" w:ascii="宋体" w:hAnsi="宋体" w:eastAsia="宋体" w:cs="宋体"/>
          <w:b/>
          <w:bCs/>
          <w:sz w:val="36"/>
          <w:szCs w:val="36"/>
        </w:rPr>
      </w:pPr>
      <w:r>
        <w:rPr>
          <w:rFonts w:hint="eastAsia" w:ascii="宋体" w:hAnsi="宋体" w:eastAsia="宋体" w:cs="宋体"/>
          <w:b/>
          <w:bCs/>
          <w:sz w:val="36"/>
          <w:szCs w:val="36"/>
        </w:rPr>
        <w:br w:type="page"/>
      </w:r>
    </w:p>
    <w:p w14:paraId="0785E3AC">
      <w:pPr>
        <w:spacing w:line="600" w:lineRule="auto"/>
        <w:jc w:val="center"/>
        <w:rPr>
          <w:rFonts w:hint="eastAsia" w:ascii="宋体" w:hAnsi="宋体" w:eastAsia="宋体" w:cs="宋体"/>
          <w:b/>
          <w:kern w:val="0"/>
          <w:sz w:val="44"/>
          <w:szCs w:val="44"/>
        </w:rPr>
      </w:pPr>
    </w:p>
    <w:p w14:paraId="7E141ED2">
      <w:pPr>
        <w:spacing w:line="60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投  标  文  件</w:t>
      </w:r>
    </w:p>
    <w:p w14:paraId="23BFECE4">
      <w:pPr>
        <w:spacing w:line="60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技术部分</w:t>
      </w:r>
    </w:p>
    <w:p w14:paraId="517741E5">
      <w:pPr>
        <w:spacing w:line="360" w:lineRule="auto"/>
        <w:jc w:val="center"/>
        <w:rPr>
          <w:rFonts w:hint="eastAsia" w:ascii="宋体" w:hAnsi="宋体" w:eastAsia="宋体" w:cs="宋体"/>
          <w:kern w:val="0"/>
          <w:sz w:val="32"/>
          <w:szCs w:val="32"/>
        </w:rPr>
      </w:pPr>
    </w:p>
    <w:p w14:paraId="0DCECE2C">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（填写正本或副本）</w:t>
      </w:r>
    </w:p>
    <w:p w14:paraId="64E5F21C">
      <w:pPr>
        <w:spacing w:line="360" w:lineRule="auto"/>
        <w:ind w:firstLine="480" w:firstLineChars="200"/>
        <w:jc w:val="center"/>
        <w:rPr>
          <w:rFonts w:hint="eastAsia" w:ascii="宋体" w:hAnsi="宋体" w:eastAsia="宋体" w:cs="宋体"/>
          <w:bCs/>
          <w:kern w:val="0"/>
          <w:sz w:val="24"/>
          <w:szCs w:val="24"/>
        </w:rPr>
      </w:pPr>
    </w:p>
    <w:p w14:paraId="2DE15537">
      <w:pPr>
        <w:pStyle w:val="17"/>
        <w:rPr>
          <w:rFonts w:hint="eastAsia" w:ascii="宋体" w:hAnsi="宋体" w:cs="宋体"/>
          <w:b w:val="0"/>
          <w:bCs/>
          <w:kern w:val="0"/>
          <w:sz w:val="24"/>
        </w:rPr>
      </w:pPr>
    </w:p>
    <w:p w14:paraId="2F1C7C66">
      <w:pPr>
        <w:rPr>
          <w:rFonts w:hint="eastAsia" w:ascii="宋体" w:hAnsi="宋体" w:eastAsia="宋体" w:cs="宋体"/>
        </w:rPr>
      </w:pPr>
    </w:p>
    <w:p w14:paraId="4BF999C8">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p w14:paraId="33AC71B5">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项目编号：</w:t>
      </w:r>
      <w:r>
        <w:rPr>
          <w:rFonts w:hint="eastAsia" w:ascii="宋体" w:hAnsi="宋体" w:eastAsia="宋体" w:cs="宋体"/>
          <w:bCs/>
          <w:kern w:val="0"/>
          <w:sz w:val="24"/>
          <w:szCs w:val="24"/>
          <w:u w:val="single"/>
        </w:rPr>
        <w:t xml:space="preserve">               </w:t>
      </w:r>
    </w:p>
    <w:p w14:paraId="5785F6BB">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所投采购包：</w:t>
      </w:r>
      <w:r>
        <w:rPr>
          <w:rFonts w:hint="eastAsia" w:ascii="宋体" w:hAnsi="宋体" w:eastAsia="宋体" w:cs="宋体"/>
          <w:bCs/>
          <w:kern w:val="0"/>
          <w:sz w:val="24"/>
          <w:szCs w:val="24"/>
          <w:u w:val="single"/>
        </w:rPr>
        <w:t xml:space="preserve">             </w:t>
      </w:r>
    </w:p>
    <w:p w14:paraId="585F437F">
      <w:pPr>
        <w:spacing w:line="360" w:lineRule="auto"/>
        <w:ind w:left="1470" w:leftChars="700" w:firstLine="480" w:firstLineChars="200"/>
        <w:jc w:val="center"/>
        <w:rPr>
          <w:rFonts w:hint="eastAsia" w:ascii="宋体" w:hAnsi="宋体" w:eastAsia="宋体" w:cs="宋体"/>
          <w:bCs/>
          <w:kern w:val="0"/>
          <w:sz w:val="24"/>
          <w:szCs w:val="24"/>
        </w:rPr>
      </w:pPr>
    </w:p>
    <w:p w14:paraId="7379BE7F">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投标人：</w:t>
      </w:r>
      <w:r>
        <w:rPr>
          <w:rFonts w:hint="eastAsia" w:ascii="宋体" w:hAnsi="宋体" w:eastAsia="宋体" w:cs="宋体"/>
          <w:bCs/>
          <w:kern w:val="0"/>
          <w:sz w:val="24"/>
          <w:szCs w:val="24"/>
          <w:u w:val="single"/>
        </w:rPr>
        <w:t xml:space="preserve">                 </w:t>
      </w:r>
    </w:p>
    <w:p w14:paraId="193F7948">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日  期：</w:t>
      </w:r>
      <w:r>
        <w:rPr>
          <w:rFonts w:hint="eastAsia" w:ascii="宋体" w:hAnsi="宋体" w:eastAsia="宋体" w:cs="宋体"/>
          <w:bCs/>
          <w:kern w:val="0"/>
          <w:sz w:val="24"/>
          <w:szCs w:val="24"/>
          <w:u w:val="single"/>
        </w:rPr>
        <w:t xml:space="preserve">                 </w:t>
      </w:r>
    </w:p>
    <w:p w14:paraId="35DEEAE3">
      <w:pPr>
        <w:widowControl/>
        <w:jc w:val="center"/>
        <w:rPr>
          <w:rFonts w:hint="eastAsia" w:ascii="宋体" w:hAnsi="宋体" w:eastAsia="宋体" w:cs="宋体"/>
          <w:b/>
          <w:bCs/>
          <w:sz w:val="28"/>
          <w:szCs w:val="28"/>
        </w:rPr>
      </w:pPr>
      <w:r>
        <w:rPr>
          <w:rFonts w:hint="eastAsia" w:ascii="宋体" w:hAnsi="宋体" w:eastAsia="宋体" w:cs="宋体"/>
          <w:b/>
          <w:bCs/>
          <w:sz w:val="36"/>
          <w:szCs w:val="36"/>
        </w:rPr>
        <w:br w:type="page"/>
      </w:r>
      <w:r>
        <w:rPr>
          <w:rFonts w:hint="eastAsia" w:ascii="宋体" w:hAnsi="宋体" w:eastAsia="宋体" w:cs="宋体"/>
          <w:b/>
          <w:bCs/>
          <w:sz w:val="28"/>
          <w:szCs w:val="28"/>
        </w:rPr>
        <w:t>格式9 技术条款偏离表</w:t>
      </w:r>
    </w:p>
    <w:tbl>
      <w:tblPr>
        <w:tblStyle w:val="29"/>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14:paraId="362D7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2E065A87">
            <w:pPr>
              <w:adjustRightInd w:val="0"/>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1516" w:type="dxa"/>
            <w:noWrap/>
          </w:tcPr>
          <w:p w14:paraId="475CB817">
            <w:pPr>
              <w:adjustRightInd w:val="0"/>
              <w:snapToGrid w:val="0"/>
              <w:jc w:val="center"/>
              <w:rPr>
                <w:rFonts w:hint="eastAsia" w:ascii="宋体" w:hAnsi="宋体" w:eastAsia="宋体" w:cs="宋体"/>
                <w:b/>
                <w:szCs w:val="21"/>
              </w:rPr>
            </w:pPr>
            <w:r>
              <w:rPr>
                <w:rFonts w:hint="eastAsia" w:ascii="宋体" w:hAnsi="宋体" w:eastAsia="宋体" w:cs="宋体"/>
                <w:b/>
                <w:szCs w:val="21"/>
              </w:rPr>
              <w:t>招标文件</w:t>
            </w:r>
          </w:p>
          <w:p w14:paraId="0152E8C0">
            <w:pPr>
              <w:adjustRightInd w:val="0"/>
              <w:snapToGrid w:val="0"/>
              <w:jc w:val="center"/>
              <w:rPr>
                <w:rFonts w:hint="eastAsia" w:ascii="宋体" w:hAnsi="宋体" w:eastAsia="宋体" w:cs="宋体"/>
                <w:b/>
                <w:szCs w:val="21"/>
              </w:rPr>
            </w:pPr>
            <w:r>
              <w:rPr>
                <w:rFonts w:hint="eastAsia" w:ascii="宋体" w:hAnsi="宋体" w:eastAsia="宋体" w:cs="宋体"/>
                <w:b/>
                <w:szCs w:val="21"/>
              </w:rPr>
              <w:t>技术部分序号</w:t>
            </w:r>
          </w:p>
        </w:tc>
        <w:tc>
          <w:tcPr>
            <w:tcW w:w="2116" w:type="dxa"/>
            <w:noWrap/>
            <w:vAlign w:val="center"/>
          </w:tcPr>
          <w:p w14:paraId="6885AC71">
            <w:pPr>
              <w:adjustRightInd w:val="0"/>
              <w:snapToGrid w:val="0"/>
              <w:jc w:val="center"/>
              <w:rPr>
                <w:rFonts w:hint="eastAsia" w:ascii="宋体" w:hAnsi="宋体" w:eastAsia="宋体" w:cs="宋体"/>
                <w:b/>
                <w:szCs w:val="21"/>
              </w:rPr>
            </w:pPr>
            <w:r>
              <w:rPr>
                <w:rFonts w:hint="eastAsia" w:ascii="宋体" w:hAnsi="宋体" w:eastAsia="宋体" w:cs="宋体"/>
                <w:b/>
                <w:szCs w:val="21"/>
              </w:rPr>
              <w:t>招标文件</w:t>
            </w:r>
          </w:p>
          <w:p w14:paraId="6DB2C212">
            <w:pPr>
              <w:adjustRightInd w:val="0"/>
              <w:snapToGrid w:val="0"/>
              <w:jc w:val="center"/>
              <w:rPr>
                <w:rFonts w:hint="eastAsia" w:ascii="宋体" w:hAnsi="宋体" w:eastAsia="宋体" w:cs="宋体"/>
                <w:b/>
                <w:szCs w:val="21"/>
              </w:rPr>
            </w:pPr>
            <w:r>
              <w:rPr>
                <w:rFonts w:hint="eastAsia" w:ascii="宋体" w:hAnsi="宋体" w:eastAsia="宋体" w:cs="宋体"/>
                <w:b/>
                <w:szCs w:val="21"/>
              </w:rPr>
              <w:t>技术部分内容要求</w:t>
            </w:r>
          </w:p>
        </w:tc>
        <w:tc>
          <w:tcPr>
            <w:tcW w:w="1684" w:type="dxa"/>
            <w:noWrap/>
            <w:vAlign w:val="center"/>
          </w:tcPr>
          <w:p w14:paraId="22A2553D">
            <w:pPr>
              <w:adjustRightInd w:val="0"/>
              <w:snapToGrid w:val="0"/>
              <w:jc w:val="center"/>
              <w:rPr>
                <w:rFonts w:hint="eastAsia" w:ascii="宋体" w:hAnsi="宋体" w:eastAsia="宋体" w:cs="宋体"/>
                <w:b/>
                <w:szCs w:val="21"/>
              </w:rPr>
            </w:pPr>
            <w:r>
              <w:rPr>
                <w:rFonts w:hint="eastAsia" w:ascii="宋体" w:hAnsi="宋体" w:eastAsia="宋体" w:cs="宋体"/>
                <w:b/>
                <w:szCs w:val="21"/>
              </w:rPr>
              <w:t>投标文件</w:t>
            </w:r>
          </w:p>
          <w:p w14:paraId="0D7C8E1E">
            <w:pPr>
              <w:adjustRightInd w:val="0"/>
              <w:snapToGrid w:val="0"/>
              <w:jc w:val="center"/>
              <w:rPr>
                <w:rFonts w:hint="eastAsia" w:ascii="宋体" w:hAnsi="宋体" w:eastAsia="宋体" w:cs="宋体"/>
                <w:b/>
                <w:szCs w:val="21"/>
              </w:rPr>
            </w:pPr>
            <w:r>
              <w:rPr>
                <w:rFonts w:hint="eastAsia" w:ascii="宋体" w:hAnsi="宋体" w:eastAsia="宋体" w:cs="宋体"/>
                <w:b/>
                <w:szCs w:val="21"/>
              </w:rPr>
              <w:t>应答情况</w:t>
            </w:r>
          </w:p>
        </w:tc>
        <w:tc>
          <w:tcPr>
            <w:tcW w:w="2090" w:type="dxa"/>
            <w:noWrap/>
            <w:vAlign w:val="center"/>
          </w:tcPr>
          <w:p w14:paraId="6FAB238D">
            <w:pPr>
              <w:adjustRightInd w:val="0"/>
              <w:snapToGrid w:val="0"/>
              <w:jc w:val="center"/>
              <w:rPr>
                <w:rFonts w:hint="eastAsia" w:ascii="宋体" w:hAnsi="宋体" w:eastAsia="宋体" w:cs="宋体"/>
                <w:b/>
                <w:szCs w:val="21"/>
              </w:rPr>
            </w:pPr>
            <w:r>
              <w:rPr>
                <w:rFonts w:hint="eastAsia" w:ascii="宋体" w:hAnsi="宋体" w:eastAsia="宋体" w:cs="宋体"/>
                <w:b/>
                <w:szCs w:val="21"/>
              </w:rPr>
              <w:t>偏离（无/正/负）</w:t>
            </w:r>
          </w:p>
        </w:tc>
        <w:tc>
          <w:tcPr>
            <w:tcW w:w="639" w:type="dxa"/>
            <w:noWrap/>
            <w:vAlign w:val="center"/>
          </w:tcPr>
          <w:p w14:paraId="0F7E4999">
            <w:pPr>
              <w:adjustRightInd w:val="0"/>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096F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74F5622A">
            <w:pPr>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516" w:type="dxa"/>
            <w:noWrap/>
            <w:vAlign w:val="center"/>
          </w:tcPr>
          <w:p w14:paraId="52B6C92C">
            <w:pPr>
              <w:adjustRightInd w:val="0"/>
              <w:snapToGrid w:val="0"/>
              <w:ind w:left="50" w:leftChars="24" w:right="55" w:rightChars="26"/>
              <w:jc w:val="center"/>
              <w:rPr>
                <w:rFonts w:hint="eastAsia" w:ascii="宋体" w:hAnsi="宋体" w:eastAsia="宋体" w:cs="宋体"/>
                <w:szCs w:val="21"/>
              </w:rPr>
            </w:pPr>
          </w:p>
        </w:tc>
        <w:tc>
          <w:tcPr>
            <w:tcW w:w="2116" w:type="dxa"/>
            <w:noWrap/>
            <w:vAlign w:val="center"/>
          </w:tcPr>
          <w:p w14:paraId="0FF00828">
            <w:pPr>
              <w:adjustRightInd w:val="0"/>
              <w:snapToGrid w:val="0"/>
              <w:ind w:left="50" w:leftChars="24" w:right="55" w:rightChars="26"/>
              <w:jc w:val="center"/>
              <w:rPr>
                <w:rFonts w:hint="eastAsia" w:ascii="宋体" w:hAnsi="宋体" w:eastAsia="宋体" w:cs="宋体"/>
                <w:szCs w:val="21"/>
              </w:rPr>
            </w:pPr>
          </w:p>
        </w:tc>
        <w:tc>
          <w:tcPr>
            <w:tcW w:w="1684" w:type="dxa"/>
            <w:noWrap/>
            <w:vAlign w:val="center"/>
          </w:tcPr>
          <w:p w14:paraId="6A153631">
            <w:pPr>
              <w:adjustRightInd w:val="0"/>
              <w:snapToGrid w:val="0"/>
              <w:jc w:val="center"/>
              <w:rPr>
                <w:rFonts w:hint="eastAsia" w:ascii="宋体" w:hAnsi="宋体" w:eastAsia="宋体" w:cs="宋体"/>
                <w:szCs w:val="21"/>
              </w:rPr>
            </w:pPr>
          </w:p>
        </w:tc>
        <w:tc>
          <w:tcPr>
            <w:tcW w:w="2090" w:type="dxa"/>
            <w:noWrap/>
            <w:vAlign w:val="center"/>
          </w:tcPr>
          <w:p w14:paraId="4E0629CC">
            <w:pPr>
              <w:adjustRightInd w:val="0"/>
              <w:snapToGrid w:val="0"/>
              <w:jc w:val="center"/>
              <w:rPr>
                <w:rFonts w:hint="eastAsia" w:ascii="宋体" w:hAnsi="宋体" w:eastAsia="宋体" w:cs="宋体"/>
                <w:szCs w:val="21"/>
              </w:rPr>
            </w:pPr>
          </w:p>
        </w:tc>
        <w:tc>
          <w:tcPr>
            <w:tcW w:w="639" w:type="dxa"/>
            <w:noWrap/>
            <w:vAlign w:val="center"/>
          </w:tcPr>
          <w:p w14:paraId="30179023">
            <w:pPr>
              <w:adjustRightInd w:val="0"/>
              <w:snapToGrid w:val="0"/>
              <w:jc w:val="center"/>
              <w:rPr>
                <w:rFonts w:hint="eastAsia" w:ascii="宋体" w:hAnsi="宋体" w:eastAsia="宋体" w:cs="宋体"/>
                <w:szCs w:val="21"/>
              </w:rPr>
            </w:pPr>
          </w:p>
        </w:tc>
      </w:tr>
      <w:tr w14:paraId="2C0A8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06D14421">
            <w:pPr>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516" w:type="dxa"/>
            <w:noWrap/>
            <w:vAlign w:val="center"/>
          </w:tcPr>
          <w:p w14:paraId="3DA316E8">
            <w:pPr>
              <w:adjustRightInd w:val="0"/>
              <w:snapToGrid w:val="0"/>
              <w:ind w:left="50" w:leftChars="24" w:right="55" w:rightChars="26"/>
              <w:jc w:val="center"/>
              <w:rPr>
                <w:rFonts w:hint="eastAsia" w:ascii="宋体" w:hAnsi="宋体" w:eastAsia="宋体" w:cs="宋体"/>
                <w:szCs w:val="21"/>
              </w:rPr>
            </w:pPr>
          </w:p>
        </w:tc>
        <w:tc>
          <w:tcPr>
            <w:tcW w:w="2116" w:type="dxa"/>
            <w:noWrap/>
            <w:vAlign w:val="center"/>
          </w:tcPr>
          <w:p w14:paraId="75EAC612">
            <w:pPr>
              <w:adjustRightInd w:val="0"/>
              <w:snapToGrid w:val="0"/>
              <w:ind w:left="50" w:leftChars="24" w:right="55" w:rightChars="26"/>
              <w:jc w:val="center"/>
              <w:rPr>
                <w:rFonts w:hint="eastAsia" w:ascii="宋体" w:hAnsi="宋体" w:eastAsia="宋体" w:cs="宋体"/>
                <w:szCs w:val="21"/>
              </w:rPr>
            </w:pPr>
          </w:p>
        </w:tc>
        <w:tc>
          <w:tcPr>
            <w:tcW w:w="1684" w:type="dxa"/>
            <w:noWrap/>
            <w:vAlign w:val="center"/>
          </w:tcPr>
          <w:p w14:paraId="47A4E52E">
            <w:pPr>
              <w:adjustRightInd w:val="0"/>
              <w:snapToGrid w:val="0"/>
              <w:jc w:val="center"/>
              <w:rPr>
                <w:rFonts w:hint="eastAsia" w:ascii="宋体" w:hAnsi="宋体" w:eastAsia="宋体" w:cs="宋体"/>
                <w:szCs w:val="21"/>
              </w:rPr>
            </w:pPr>
          </w:p>
        </w:tc>
        <w:tc>
          <w:tcPr>
            <w:tcW w:w="2090" w:type="dxa"/>
            <w:noWrap/>
            <w:vAlign w:val="center"/>
          </w:tcPr>
          <w:p w14:paraId="7D883743">
            <w:pPr>
              <w:adjustRightInd w:val="0"/>
              <w:snapToGrid w:val="0"/>
              <w:jc w:val="center"/>
              <w:rPr>
                <w:rFonts w:hint="eastAsia" w:ascii="宋体" w:hAnsi="宋体" w:eastAsia="宋体" w:cs="宋体"/>
                <w:szCs w:val="21"/>
              </w:rPr>
            </w:pPr>
          </w:p>
        </w:tc>
        <w:tc>
          <w:tcPr>
            <w:tcW w:w="639" w:type="dxa"/>
            <w:noWrap/>
            <w:vAlign w:val="center"/>
          </w:tcPr>
          <w:p w14:paraId="77CF4211">
            <w:pPr>
              <w:adjustRightInd w:val="0"/>
              <w:snapToGrid w:val="0"/>
              <w:jc w:val="center"/>
              <w:rPr>
                <w:rFonts w:hint="eastAsia" w:ascii="宋体" w:hAnsi="宋体" w:eastAsia="宋体" w:cs="宋体"/>
                <w:szCs w:val="21"/>
              </w:rPr>
            </w:pPr>
          </w:p>
        </w:tc>
      </w:tr>
      <w:tr w14:paraId="5FB6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5B39D97A">
            <w:pPr>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1516" w:type="dxa"/>
            <w:noWrap/>
            <w:vAlign w:val="center"/>
          </w:tcPr>
          <w:p w14:paraId="5DFE901C">
            <w:pPr>
              <w:adjustRightInd w:val="0"/>
              <w:snapToGrid w:val="0"/>
              <w:ind w:left="50" w:leftChars="24" w:right="55" w:rightChars="26"/>
              <w:jc w:val="center"/>
              <w:rPr>
                <w:rFonts w:hint="eastAsia" w:ascii="宋体" w:hAnsi="宋体" w:eastAsia="宋体" w:cs="宋体"/>
                <w:szCs w:val="21"/>
              </w:rPr>
            </w:pPr>
          </w:p>
        </w:tc>
        <w:tc>
          <w:tcPr>
            <w:tcW w:w="2116" w:type="dxa"/>
            <w:noWrap/>
            <w:vAlign w:val="center"/>
          </w:tcPr>
          <w:p w14:paraId="0FF48B4B">
            <w:pPr>
              <w:adjustRightInd w:val="0"/>
              <w:snapToGrid w:val="0"/>
              <w:ind w:left="50" w:leftChars="24" w:right="55" w:rightChars="26"/>
              <w:jc w:val="center"/>
              <w:rPr>
                <w:rFonts w:hint="eastAsia" w:ascii="宋体" w:hAnsi="宋体" w:eastAsia="宋体" w:cs="宋体"/>
                <w:szCs w:val="21"/>
              </w:rPr>
            </w:pPr>
          </w:p>
        </w:tc>
        <w:tc>
          <w:tcPr>
            <w:tcW w:w="1684" w:type="dxa"/>
            <w:noWrap/>
            <w:vAlign w:val="center"/>
          </w:tcPr>
          <w:p w14:paraId="78466217">
            <w:pPr>
              <w:adjustRightInd w:val="0"/>
              <w:snapToGrid w:val="0"/>
              <w:jc w:val="center"/>
              <w:rPr>
                <w:rFonts w:hint="eastAsia" w:ascii="宋体" w:hAnsi="宋体" w:eastAsia="宋体" w:cs="宋体"/>
                <w:szCs w:val="21"/>
              </w:rPr>
            </w:pPr>
          </w:p>
        </w:tc>
        <w:tc>
          <w:tcPr>
            <w:tcW w:w="2090" w:type="dxa"/>
            <w:noWrap/>
            <w:vAlign w:val="center"/>
          </w:tcPr>
          <w:p w14:paraId="28A07E7E">
            <w:pPr>
              <w:adjustRightInd w:val="0"/>
              <w:snapToGrid w:val="0"/>
              <w:jc w:val="center"/>
              <w:rPr>
                <w:rFonts w:hint="eastAsia" w:ascii="宋体" w:hAnsi="宋体" w:eastAsia="宋体" w:cs="宋体"/>
                <w:szCs w:val="21"/>
              </w:rPr>
            </w:pPr>
          </w:p>
        </w:tc>
        <w:tc>
          <w:tcPr>
            <w:tcW w:w="639" w:type="dxa"/>
            <w:noWrap/>
            <w:vAlign w:val="center"/>
          </w:tcPr>
          <w:p w14:paraId="2439A556">
            <w:pPr>
              <w:adjustRightInd w:val="0"/>
              <w:snapToGrid w:val="0"/>
              <w:jc w:val="center"/>
              <w:rPr>
                <w:rFonts w:hint="eastAsia" w:ascii="宋体" w:hAnsi="宋体" w:eastAsia="宋体" w:cs="宋体"/>
                <w:szCs w:val="21"/>
              </w:rPr>
            </w:pPr>
          </w:p>
        </w:tc>
      </w:tr>
      <w:tr w14:paraId="6FD9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0FC511FB">
            <w:pPr>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1516" w:type="dxa"/>
            <w:noWrap/>
            <w:vAlign w:val="center"/>
          </w:tcPr>
          <w:p w14:paraId="03D5D0DF">
            <w:pPr>
              <w:adjustRightInd w:val="0"/>
              <w:snapToGrid w:val="0"/>
              <w:ind w:left="50" w:leftChars="24" w:right="55" w:rightChars="26"/>
              <w:jc w:val="center"/>
              <w:rPr>
                <w:rFonts w:hint="eastAsia" w:ascii="宋体" w:hAnsi="宋体" w:eastAsia="宋体" w:cs="宋体"/>
                <w:szCs w:val="21"/>
              </w:rPr>
            </w:pPr>
          </w:p>
        </w:tc>
        <w:tc>
          <w:tcPr>
            <w:tcW w:w="2116" w:type="dxa"/>
            <w:noWrap/>
            <w:vAlign w:val="center"/>
          </w:tcPr>
          <w:p w14:paraId="41A8A052">
            <w:pPr>
              <w:adjustRightInd w:val="0"/>
              <w:snapToGrid w:val="0"/>
              <w:ind w:left="50" w:leftChars="24" w:right="55" w:rightChars="26"/>
              <w:jc w:val="center"/>
              <w:rPr>
                <w:rFonts w:hint="eastAsia" w:ascii="宋体" w:hAnsi="宋体" w:eastAsia="宋体" w:cs="宋体"/>
                <w:szCs w:val="21"/>
              </w:rPr>
            </w:pPr>
          </w:p>
        </w:tc>
        <w:tc>
          <w:tcPr>
            <w:tcW w:w="1684" w:type="dxa"/>
            <w:noWrap/>
            <w:vAlign w:val="center"/>
          </w:tcPr>
          <w:p w14:paraId="70050D41">
            <w:pPr>
              <w:adjustRightInd w:val="0"/>
              <w:snapToGrid w:val="0"/>
              <w:jc w:val="center"/>
              <w:rPr>
                <w:rFonts w:hint="eastAsia" w:ascii="宋体" w:hAnsi="宋体" w:eastAsia="宋体" w:cs="宋体"/>
                <w:szCs w:val="21"/>
              </w:rPr>
            </w:pPr>
          </w:p>
        </w:tc>
        <w:tc>
          <w:tcPr>
            <w:tcW w:w="2090" w:type="dxa"/>
            <w:noWrap/>
            <w:vAlign w:val="center"/>
          </w:tcPr>
          <w:p w14:paraId="145F0B6E">
            <w:pPr>
              <w:adjustRightInd w:val="0"/>
              <w:snapToGrid w:val="0"/>
              <w:jc w:val="center"/>
              <w:rPr>
                <w:rFonts w:hint="eastAsia" w:ascii="宋体" w:hAnsi="宋体" w:eastAsia="宋体" w:cs="宋体"/>
                <w:szCs w:val="21"/>
              </w:rPr>
            </w:pPr>
          </w:p>
        </w:tc>
        <w:tc>
          <w:tcPr>
            <w:tcW w:w="639" w:type="dxa"/>
            <w:noWrap/>
            <w:vAlign w:val="center"/>
          </w:tcPr>
          <w:p w14:paraId="15720B35">
            <w:pPr>
              <w:adjustRightInd w:val="0"/>
              <w:snapToGrid w:val="0"/>
              <w:jc w:val="center"/>
              <w:rPr>
                <w:rFonts w:hint="eastAsia" w:ascii="宋体" w:hAnsi="宋体" w:eastAsia="宋体" w:cs="宋体"/>
                <w:szCs w:val="21"/>
              </w:rPr>
            </w:pPr>
          </w:p>
        </w:tc>
      </w:tr>
      <w:tr w14:paraId="1869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19E50144">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1516" w:type="dxa"/>
            <w:noWrap/>
            <w:vAlign w:val="center"/>
          </w:tcPr>
          <w:p w14:paraId="4DDE9581">
            <w:pPr>
              <w:adjustRightInd w:val="0"/>
              <w:snapToGrid w:val="0"/>
              <w:jc w:val="center"/>
              <w:rPr>
                <w:rFonts w:hint="eastAsia" w:ascii="宋体" w:hAnsi="宋体" w:eastAsia="宋体" w:cs="宋体"/>
                <w:szCs w:val="21"/>
              </w:rPr>
            </w:pPr>
          </w:p>
        </w:tc>
        <w:tc>
          <w:tcPr>
            <w:tcW w:w="2116" w:type="dxa"/>
            <w:noWrap/>
            <w:vAlign w:val="center"/>
          </w:tcPr>
          <w:p w14:paraId="7CAD58EE">
            <w:pPr>
              <w:adjustRightInd w:val="0"/>
              <w:snapToGrid w:val="0"/>
              <w:jc w:val="center"/>
              <w:rPr>
                <w:rFonts w:hint="eastAsia" w:ascii="宋体" w:hAnsi="宋体" w:eastAsia="宋体" w:cs="宋体"/>
                <w:szCs w:val="21"/>
              </w:rPr>
            </w:pPr>
          </w:p>
        </w:tc>
        <w:tc>
          <w:tcPr>
            <w:tcW w:w="1684" w:type="dxa"/>
            <w:noWrap/>
            <w:vAlign w:val="center"/>
          </w:tcPr>
          <w:p w14:paraId="7A56A15F">
            <w:pPr>
              <w:adjustRightInd w:val="0"/>
              <w:snapToGrid w:val="0"/>
              <w:jc w:val="center"/>
              <w:rPr>
                <w:rFonts w:hint="eastAsia" w:ascii="宋体" w:hAnsi="宋体" w:eastAsia="宋体" w:cs="宋体"/>
                <w:szCs w:val="21"/>
              </w:rPr>
            </w:pPr>
          </w:p>
        </w:tc>
        <w:tc>
          <w:tcPr>
            <w:tcW w:w="2090" w:type="dxa"/>
            <w:noWrap/>
            <w:vAlign w:val="center"/>
          </w:tcPr>
          <w:p w14:paraId="536F0901">
            <w:pPr>
              <w:adjustRightInd w:val="0"/>
              <w:snapToGrid w:val="0"/>
              <w:jc w:val="center"/>
              <w:rPr>
                <w:rFonts w:hint="eastAsia" w:ascii="宋体" w:hAnsi="宋体" w:eastAsia="宋体" w:cs="宋体"/>
                <w:szCs w:val="21"/>
              </w:rPr>
            </w:pPr>
          </w:p>
        </w:tc>
        <w:tc>
          <w:tcPr>
            <w:tcW w:w="639" w:type="dxa"/>
            <w:noWrap/>
            <w:vAlign w:val="center"/>
          </w:tcPr>
          <w:p w14:paraId="717FC0C1">
            <w:pPr>
              <w:adjustRightInd w:val="0"/>
              <w:snapToGrid w:val="0"/>
              <w:jc w:val="center"/>
              <w:rPr>
                <w:rFonts w:hint="eastAsia" w:ascii="宋体" w:hAnsi="宋体" w:eastAsia="宋体" w:cs="宋体"/>
                <w:szCs w:val="21"/>
              </w:rPr>
            </w:pPr>
          </w:p>
        </w:tc>
      </w:tr>
      <w:tr w14:paraId="4B70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27468AE1">
            <w:pPr>
              <w:adjustRightInd w:val="0"/>
              <w:snapToGrid w:val="0"/>
              <w:jc w:val="center"/>
              <w:rPr>
                <w:rFonts w:hint="eastAsia" w:ascii="宋体" w:hAnsi="宋体" w:eastAsia="宋体" w:cs="宋体"/>
                <w:szCs w:val="21"/>
              </w:rPr>
            </w:pPr>
            <w:r>
              <w:rPr>
                <w:rFonts w:hint="eastAsia" w:ascii="宋体" w:hAnsi="宋体" w:eastAsia="宋体" w:cs="宋体"/>
                <w:szCs w:val="21"/>
              </w:rPr>
              <w:t>……</w:t>
            </w:r>
          </w:p>
        </w:tc>
        <w:tc>
          <w:tcPr>
            <w:tcW w:w="1516" w:type="dxa"/>
            <w:noWrap/>
            <w:vAlign w:val="center"/>
          </w:tcPr>
          <w:p w14:paraId="18EB1B0F">
            <w:pPr>
              <w:adjustRightInd w:val="0"/>
              <w:snapToGrid w:val="0"/>
              <w:jc w:val="center"/>
              <w:rPr>
                <w:rFonts w:hint="eastAsia" w:ascii="宋体" w:hAnsi="宋体" w:eastAsia="宋体" w:cs="宋体"/>
                <w:szCs w:val="21"/>
              </w:rPr>
            </w:pPr>
          </w:p>
        </w:tc>
        <w:tc>
          <w:tcPr>
            <w:tcW w:w="2116" w:type="dxa"/>
            <w:noWrap/>
            <w:vAlign w:val="center"/>
          </w:tcPr>
          <w:p w14:paraId="45B729BD">
            <w:pPr>
              <w:adjustRightInd w:val="0"/>
              <w:snapToGrid w:val="0"/>
              <w:jc w:val="center"/>
              <w:rPr>
                <w:rFonts w:hint="eastAsia" w:ascii="宋体" w:hAnsi="宋体" w:eastAsia="宋体" w:cs="宋体"/>
                <w:szCs w:val="21"/>
              </w:rPr>
            </w:pPr>
          </w:p>
        </w:tc>
        <w:tc>
          <w:tcPr>
            <w:tcW w:w="1684" w:type="dxa"/>
            <w:noWrap/>
            <w:vAlign w:val="center"/>
          </w:tcPr>
          <w:p w14:paraId="2B02BDE4">
            <w:pPr>
              <w:adjustRightInd w:val="0"/>
              <w:snapToGrid w:val="0"/>
              <w:jc w:val="center"/>
              <w:rPr>
                <w:rFonts w:hint="eastAsia" w:ascii="宋体" w:hAnsi="宋体" w:eastAsia="宋体" w:cs="宋体"/>
                <w:szCs w:val="21"/>
              </w:rPr>
            </w:pPr>
          </w:p>
        </w:tc>
        <w:tc>
          <w:tcPr>
            <w:tcW w:w="2090" w:type="dxa"/>
            <w:noWrap/>
            <w:vAlign w:val="center"/>
          </w:tcPr>
          <w:p w14:paraId="6EAD26A3">
            <w:pPr>
              <w:adjustRightInd w:val="0"/>
              <w:snapToGrid w:val="0"/>
              <w:jc w:val="center"/>
              <w:rPr>
                <w:rFonts w:hint="eastAsia" w:ascii="宋体" w:hAnsi="宋体" w:eastAsia="宋体" w:cs="宋体"/>
                <w:szCs w:val="21"/>
              </w:rPr>
            </w:pPr>
          </w:p>
        </w:tc>
        <w:tc>
          <w:tcPr>
            <w:tcW w:w="639" w:type="dxa"/>
            <w:noWrap/>
            <w:vAlign w:val="center"/>
          </w:tcPr>
          <w:p w14:paraId="1CF8735D">
            <w:pPr>
              <w:adjustRightInd w:val="0"/>
              <w:snapToGrid w:val="0"/>
              <w:jc w:val="center"/>
              <w:rPr>
                <w:rFonts w:hint="eastAsia" w:ascii="宋体" w:hAnsi="宋体" w:eastAsia="宋体" w:cs="宋体"/>
                <w:szCs w:val="21"/>
              </w:rPr>
            </w:pPr>
          </w:p>
        </w:tc>
      </w:tr>
    </w:tbl>
    <w:p w14:paraId="2C478EB5">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5AA3B986">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1.按照《招标文件-技术部分》内容要求，一一对应填写。如果对《招标文件-技术部分》内容不做一一响应，而将“投标文件应答情况”简单笼统描述为“无偏离”，则视为无效应答。</w:t>
      </w:r>
    </w:p>
    <w:p w14:paraId="5C78051E">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2.《招标文件-技术部分》内容须条对条应答，不得遗漏；如有遗漏，则视为无效应答。如无偏离，请在此表中填写“无偏离”。如有偏离，请在此表中应答为“正/负偏离”并说明偏离情况；</w:t>
      </w:r>
    </w:p>
    <w:p w14:paraId="60FCC798">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3.如《招标文件-技术部分》中有标注★号的，则为实质性要求，必须满足，如应答为“负偏离”，将导致投标无效。</w:t>
      </w:r>
    </w:p>
    <w:p w14:paraId="26535958">
      <w:pPr>
        <w:topLinePunct/>
        <w:autoSpaceDE w:val="0"/>
        <w:autoSpaceDN w:val="0"/>
        <w:spacing w:line="360" w:lineRule="auto"/>
        <w:ind w:firstLine="420" w:firstLineChars="200"/>
        <w:rPr>
          <w:rFonts w:hint="eastAsia" w:ascii="宋体" w:hAnsi="宋体" w:eastAsia="宋体" w:cs="宋体"/>
          <w:szCs w:val="21"/>
        </w:rPr>
      </w:pPr>
    </w:p>
    <w:p w14:paraId="4A25EAB6">
      <w:pPr>
        <w:pStyle w:val="59"/>
        <w:spacing w:after="156"/>
        <w:rPr>
          <w:rFonts w:hint="eastAsia" w:ascii="宋体" w:hAnsi="宋体" w:cs="宋体"/>
          <w:sz w:val="21"/>
          <w:szCs w:val="21"/>
        </w:rPr>
      </w:pPr>
    </w:p>
    <w:p w14:paraId="0B415819">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14:paraId="26C848F7">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0B91C64">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32E5463D">
      <w:pPr>
        <w:jc w:val="center"/>
        <w:rPr>
          <w:b/>
          <w:bCs/>
          <w:sz w:val="36"/>
          <w:szCs w:val="36"/>
        </w:rPr>
      </w:pPr>
      <w:r>
        <w:rPr>
          <w:rFonts w:hint="eastAsia" w:ascii="宋体" w:hAnsi="宋体" w:eastAsia="宋体" w:cs="宋体"/>
          <w:sz w:val="24"/>
        </w:rPr>
        <w:br w:type="page"/>
      </w:r>
      <w:r>
        <w:rPr>
          <w:rFonts w:hint="eastAsia" w:ascii="宋体" w:hAnsi="宋体"/>
          <w:b/>
          <w:bCs/>
          <w:sz w:val="28"/>
          <w:szCs w:val="28"/>
        </w:rPr>
        <w:t>格式</w:t>
      </w:r>
      <w:r>
        <w:rPr>
          <w:rFonts w:hint="eastAsia" w:ascii="Times New Roman" w:hAnsi="Times New Roman"/>
          <w:b/>
          <w:bCs/>
          <w:sz w:val="28"/>
          <w:szCs w:val="28"/>
        </w:rPr>
        <w:t>10</w:t>
      </w:r>
      <w:r>
        <w:rPr>
          <w:rFonts w:hint="eastAsia"/>
          <w:b/>
          <w:bCs/>
          <w:sz w:val="28"/>
          <w:szCs w:val="28"/>
        </w:rPr>
        <w:t>服务方案、实施方案及技术方案</w:t>
      </w:r>
    </w:p>
    <w:p w14:paraId="023B4278">
      <w:pPr>
        <w:ind w:firstLine="420" w:firstLineChars="200"/>
        <w:rPr>
          <w:szCs w:val="21"/>
        </w:rPr>
      </w:pPr>
    </w:p>
    <w:p w14:paraId="7BF6ACFD">
      <w:pPr>
        <w:adjustRightInd w:val="0"/>
        <w:snapToGrid w:val="0"/>
        <w:spacing w:line="360" w:lineRule="auto"/>
        <w:jc w:val="center"/>
        <w:rPr>
          <w:rFonts w:eastAsia="黑体"/>
          <w:sz w:val="28"/>
          <w:szCs w:val="28"/>
        </w:rPr>
      </w:pPr>
      <w:r>
        <w:rPr>
          <w:rFonts w:hint="eastAsia" w:ascii="宋体" w:hAnsi="宋体" w:cs="宋体"/>
          <w:b/>
          <w:bCs/>
          <w:sz w:val="28"/>
          <w:szCs w:val="28"/>
        </w:rPr>
        <w:t>服务方案说明</w:t>
      </w:r>
    </w:p>
    <w:p w14:paraId="10EC94D1">
      <w:pPr>
        <w:spacing w:line="360" w:lineRule="auto"/>
        <w:ind w:firstLine="420" w:firstLineChars="200"/>
        <w:jc w:val="left"/>
        <w:rPr>
          <w:rFonts w:ascii="Times New Roman" w:hAnsi="Times New Roman"/>
          <w:kern w:val="0"/>
          <w:szCs w:val="21"/>
        </w:rPr>
      </w:pPr>
      <w:r>
        <w:rPr>
          <w:rFonts w:ascii="Times New Roman" w:hAnsi="Times New Roman"/>
          <w:kern w:val="0"/>
          <w:szCs w:val="21"/>
        </w:rPr>
        <w:t>服务类项目供应商应根据第六章规定编写服务方案说明。服务方案说明包括但不限于：</w:t>
      </w:r>
    </w:p>
    <w:p w14:paraId="5E64EA66">
      <w:pPr>
        <w:spacing w:line="360" w:lineRule="auto"/>
        <w:ind w:firstLine="420" w:firstLineChars="200"/>
        <w:jc w:val="left"/>
        <w:rPr>
          <w:rFonts w:ascii="Times New Roman" w:hAnsi="Times New Roman"/>
          <w:kern w:val="0"/>
          <w:szCs w:val="21"/>
        </w:rPr>
      </w:pPr>
      <w:r>
        <w:rPr>
          <w:rFonts w:ascii="Times New Roman" w:hAnsi="Times New Roman"/>
          <w:kern w:val="0"/>
          <w:szCs w:val="21"/>
        </w:rPr>
        <w:t>(1)服务目标、范围和任务；</w:t>
      </w:r>
    </w:p>
    <w:p w14:paraId="2729F5A8">
      <w:pPr>
        <w:spacing w:line="360" w:lineRule="auto"/>
        <w:ind w:firstLine="420" w:firstLineChars="200"/>
        <w:jc w:val="left"/>
        <w:rPr>
          <w:rFonts w:ascii="Times New Roman" w:hAnsi="Times New Roman"/>
          <w:kern w:val="0"/>
          <w:szCs w:val="21"/>
        </w:rPr>
      </w:pPr>
      <w:r>
        <w:rPr>
          <w:rFonts w:ascii="Times New Roman" w:hAnsi="Times New Roman"/>
          <w:kern w:val="0"/>
          <w:szCs w:val="21"/>
        </w:rPr>
        <w:t>(2)服务方案；</w:t>
      </w:r>
    </w:p>
    <w:p w14:paraId="65C5B983">
      <w:pPr>
        <w:spacing w:line="360" w:lineRule="auto"/>
        <w:ind w:firstLine="420" w:firstLineChars="200"/>
        <w:jc w:val="left"/>
        <w:rPr>
          <w:rFonts w:ascii="Times New Roman" w:hAnsi="Times New Roman"/>
          <w:kern w:val="0"/>
          <w:szCs w:val="21"/>
        </w:rPr>
      </w:pPr>
      <w:r>
        <w:rPr>
          <w:rFonts w:ascii="Times New Roman" w:hAnsi="Times New Roman"/>
          <w:kern w:val="0"/>
          <w:szCs w:val="21"/>
        </w:rPr>
        <w:t>(3)服务团队组织安排计划；</w:t>
      </w:r>
    </w:p>
    <w:p w14:paraId="0BF458F6">
      <w:pPr>
        <w:spacing w:line="360" w:lineRule="auto"/>
        <w:ind w:firstLine="420" w:firstLineChars="200"/>
        <w:jc w:val="left"/>
        <w:rPr>
          <w:rFonts w:ascii="Times New Roman" w:hAnsi="Times New Roman"/>
          <w:kern w:val="0"/>
          <w:szCs w:val="21"/>
        </w:rPr>
      </w:pPr>
      <w:r>
        <w:rPr>
          <w:rFonts w:ascii="Times New Roman" w:hAnsi="Times New Roman"/>
          <w:kern w:val="0"/>
          <w:szCs w:val="21"/>
        </w:rPr>
        <w:t>(4)工作流程；</w:t>
      </w:r>
    </w:p>
    <w:p w14:paraId="1DF6E31D">
      <w:pPr>
        <w:spacing w:line="360" w:lineRule="auto"/>
        <w:ind w:firstLine="420" w:firstLineChars="200"/>
        <w:jc w:val="left"/>
        <w:rPr>
          <w:rFonts w:ascii="Times New Roman" w:hAnsi="Times New Roman"/>
          <w:kern w:val="0"/>
          <w:szCs w:val="21"/>
        </w:rPr>
      </w:pPr>
      <w:r>
        <w:rPr>
          <w:rFonts w:ascii="Times New Roman" w:hAnsi="Times New Roman"/>
          <w:kern w:val="0"/>
          <w:szCs w:val="21"/>
        </w:rPr>
        <w:t>(5)进度计划及保证措施；</w:t>
      </w:r>
    </w:p>
    <w:p w14:paraId="5F268625">
      <w:pPr>
        <w:spacing w:line="360" w:lineRule="auto"/>
        <w:ind w:firstLine="420" w:firstLineChars="200"/>
        <w:jc w:val="left"/>
        <w:rPr>
          <w:rFonts w:ascii="Times New Roman" w:hAnsi="Times New Roman"/>
          <w:kern w:val="0"/>
          <w:szCs w:val="21"/>
        </w:rPr>
      </w:pPr>
      <w:r>
        <w:rPr>
          <w:rFonts w:ascii="Times New Roman" w:hAnsi="Times New Roman"/>
          <w:kern w:val="0"/>
          <w:szCs w:val="21"/>
        </w:rPr>
        <w:t>(6)质量保证措施；</w:t>
      </w:r>
    </w:p>
    <w:p w14:paraId="4162404A">
      <w:pPr>
        <w:spacing w:line="360" w:lineRule="auto"/>
        <w:ind w:firstLine="420" w:firstLineChars="200"/>
        <w:jc w:val="left"/>
        <w:rPr>
          <w:rFonts w:ascii="Times New Roman" w:hAnsi="Times New Roman"/>
          <w:kern w:val="0"/>
          <w:szCs w:val="21"/>
        </w:rPr>
      </w:pPr>
      <w:r>
        <w:rPr>
          <w:rFonts w:ascii="Times New Roman" w:hAnsi="Times New Roman"/>
          <w:kern w:val="0"/>
          <w:szCs w:val="21"/>
        </w:rPr>
        <w:t>(7)合理化建议；</w:t>
      </w:r>
    </w:p>
    <w:p w14:paraId="21D1EC95">
      <w:pPr>
        <w:spacing w:line="360" w:lineRule="auto"/>
        <w:ind w:firstLine="420" w:firstLineChars="200"/>
        <w:jc w:val="left"/>
        <w:rPr>
          <w:rFonts w:ascii="Times New Roman" w:hAnsi="Times New Roman"/>
          <w:kern w:val="0"/>
          <w:szCs w:val="21"/>
        </w:rPr>
      </w:pPr>
      <w:r>
        <w:rPr>
          <w:rFonts w:ascii="Times New Roman" w:hAnsi="Times New Roman"/>
          <w:kern w:val="0"/>
          <w:szCs w:val="21"/>
        </w:rPr>
        <w:t>(8)其他。</w:t>
      </w:r>
    </w:p>
    <w:p w14:paraId="67D0763D">
      <w:pPr>
        <w:ind w:firstLine="420" w:firstLineChars="200"/>
        <w:rPr>
          <w:rFonts w:eastAsia="仿宋_GB2312"/>
          <w:szCs w:val="21"/>
        </w:rPr>
      </w:pPr>
    </w:p>
    <w:p w14:paraId="6BFF487D">
      <w:pPr>
        <w:adjustRightInd w:val="0"/>
        <w:snapToGrid w:val="0"/>
        <w:spacing w:line="360" w:lineRule="auto"/>
        <w:ind w:firstLine="723"/>
        <w:jc w:val="center"/>
        <w:rPr>
          <w:rFonts w:hint="eastAsia" w:ascii="宋体" w:hAnsi="宋体" w:cs="宋体"/>
          <w:b/>
          <w:bCs/>
          <w:sz w:val="28"/>
          <w:szCs w:val="28"/>
        </w:rPr>
      </w:pPr>
      <w:r>
        <w:rPr>
          <w:rFonts w:hint="eastAsia" w:ascii="宋体" w:hAnsi="宋体" w:cs="宋体"/>
          <w:b/>
          <w:bCs/>
          <w:sz w:val="28"/>
          <w:szCs w:val="28"/>
        </w:rPr>
        <w:t>实施方案</w:t>
      </w:r>
    </w:p>
    <w:p w14:paraId="7A7058C7">
      <w:pPr>
        <w:spacing w:line="360" w:lineRule="auto"/>
        <w:ind w:firstLine="420" w:firstLineChars="200"/>
        <w:jc w:val="left"/>
        <w:rPr>
          <w:rFonts w:hint="eastAsia" w:ascii="宋体" w:hAnsi="宋体"/>
          <w:kern w:val="0"/>
          <w:szCs w:val="21"/>
        </w:rPr>
      </w:pPr>
      <w:r>
        <w:rPr>
          <w:rFonts w:hint="eastAsia" w:ascii="宋体" w:hAnsi="宋体"/>
          <w:kern w:val="0"/>
          <w:szCs w:val="21"/>
        </w:rPr>
        <w:t>(示例略)</w:t>
      </w:r>
    </w:p>
    <w:p w14:paraId="27202A2E">
      <w:pPr>
        <w:ind w:firstLine="420" w:firstLineChars="200"/>
        <w:rPr>
          <w:rFonts w:eastAsia="仿宋_GB2312"/>
          <w:szCs w:val="21"/>
        </w:rPr>
      </w:pPr>
    </w:p>
    <w:p w14:paraId="64303804">
      <w:pPr>
        <w:adjustRightInd w:val="0"/>
        <w:snapToGrid w:val="0"/>
        <w:spacing w:line="360" w:lineRule="auto"/>
        <w:ind w:firstLine="723"/>
        <w:jc w:val="center"/>
        <w:rPr>
          <w:rFonts w:hint="eastAsia" w:ascii="宋体" w:hAnsi="宋体" w:cs="宋体"/>
          <w:b/>
          <w:bCs/>
          <w:sz w:val="28"/>
          <w:szCs w:val="28"/>
        </w:rPr>
      </w:pPr>
      <w:r>
        <w:rPr>
          <w:rFonts w:hint="eastAsia" w:ascii="宋体" w:hAnsi="宋体" w:cs="宋体"/>
          <w:b/>
          <w:bCs/>
          <w:sz w:val="28"/>
          <w:szCs w:val="28"/>
        </w:rPr>
        <w:t>技术方案</w:t>
      </w:r>
    </w:p>
    <w:p w14:paraId="0454C039">
      <w:pPr>
        <w:spacing w:line="360" w:lineRule="auto"/>
        <w:ind w:firstLine="420" w:firstLineChars="200"/>
        <w:jc w:val="left"/>
        <w:rPr>
          <w:rFonts w:hint="eastAsia" w:ascii="宋体" w:hAnsi="宋体"/>
          <w:kern w:val="0"/>
          <w:szCs w:val="21"/>
        </w:rPr>
      </w:pPr>
      <w:r>
        <w:rPr>
          <w:rFonts w:ascii="宋体" w:hAnsi="宋体"/>
          <w:kern w:val="0"/>
          <w:szCs w:val="21"/>
        </w:rPr>
        <w:t>(</w:t>
      </w:r>
      <w:r>
        <w:rPr>
          <w:rFonts w:hint="eastAsia" w:ascii="宋体" w:hAnsi="宋体"/>
          <w:kern w:val="0"/>
          <w:szCs w:val="21"/>
        </w:rPr>
        <w:t>示例略</w:t>
      </w:r>
      <w:r>
        <w:rPr>
          <w:rFonts w:ascii="宋体" w:hAnsi="宋体"/>
          <w:kern w:val="0"/>
          <w:szCs w:val="21"/>
        </w:rPr>
        <w:t>)</w:t>
      </w:r>
    </w:p>
    <w:p w14:paraId="4C486D7A">
      <w:pPr>
        <w:spacing w:line="360" w:lineRule="auto"/>
        <w:ind w:firstLine="420" w:firstLineChars="200"/>
        <w:jc w:val="center"/>
        <w:rPr>
          <w:rFonts w:hint="eastAsia" w:ascii="宋体" w:hAnsi="宋体" w:eastAsia="宋体" w:cs="宋体"/>
          <w:kern w:val="0"/>
          <w:szCs w:val="21"/>
        </w:rPr>
      </w:pPr>
    </w:p>
    <w:p w14:paraId="148DF19D">
      <w:pPr>
        <w:ind w:firstLine="420" w:firstLineChars="200"/>
        <w:rPr>
          <w:rFonts w:hint="eastAsia" w:ascii="宋体" w:hAnsi="宋体" w:eastAsia="宋体" w:cs="宋体"/>
          <w:szCs w:val="21"/>
        </w:rPr>
      </w:pPr>
    </w:p>
    <w:p w14:paraId="0420E7F4">
      <w:pPr>
        <w:spacing w:line="360" w:lineRule="auto"/>
        <w:jc w:val="center"/>
        <w:rPr>
          <w:rFonts w:hint="eastAsia" w:ascii="宋体" w:hAnsi="宋体" w:eastAsia="宋体" w:cs="宋体"/>
          <w:b/>
          <w:bCs/>
          <w:sz w:val="28"/>
          <w:szCs w:val="28"/>
        </w:rPr>
      </w:pPr>
      <w:r>
        <w:rPr>
          <w:rFonts w:hint="eastAsia" w:ascii="宋体" w:hAnsi="宋体" w:eastAsia="宋体" w:cs="宋体"/>
          <w:kern w:val="0"/>
          <w:sz w:val="24"/>
        </w:rPr>
        <w:br w:type="page"/>
      </w:r>
      <w:r>
        <w:rPr>
          <w:rFonts w:hint="eastAsia" w:ascii="宋体" w:hAnsi="宋体" w:eastAsia="宋体" w:cs="宋体"/>
          <w:b/>
          <w:bCs/>
          <w:sz w:val="28"/>
          <w:szCs w:val="28"/>
        </w:rPr>
        <w:t>格式</w:t>
      </w:r>
      <w:bookmarkStart w:id="52" w:name="_Toc231801039"/>
      <w:r>
        <w:rPr>
          <w:rFonts w:hint="eastAsia" w:ascii="宋体" w:hAnsi="宋体" w:eastAsia="宋体" w:cs="宋体"/>
          <w:b/>
          <w:bCs/>
          <w:sz w:val="28"/>
          <w:szCs w:val="28"/>
        </w:rPr>
        <w:t>11 技术力量一览表</w:t>
      </w:r>
    </w:p>
    <w:tbl>
      <w:tblPr>
        <w:tblStyle w:val="2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14:paraId="3A01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40F1C680">
            <w:pPr>
              <w:adjustRightInd w:val="0"/>
              <w:jc w:val="center"/>
              <w:rPr>
                <w:rFonts w:hint="eastAsia" w:ascii="宋体" w:hAnsi="宋体" w:eastAsia="宋体" w:cs="宋体"/>
                <w:b/>
                <w:szCs w:val="21"/>
              </w:rPr>
            </w:pPr>
            <w:r>
              <w:rPr>
                <w:rFonts w:hint="eastAsia" w:ascii="宋体" w:hAnsi="宋体" w:eastAsia="宋体" w:cs="宋体"/>
                <w:b/>
                <w:szCs w:val="21"/>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14:paraId="664A965B">
            <w:pPr>
              <w:adjustRightInd w:val="0"/>
              <w:jc w:val="center"/>
              <w:rPr>
                <w:rFonts w:hint="eastAsia" w:ascii="宋体" w:hAnsi="宋体" w:eastAsia="宋体" w:cs="宋体"/>
                <w:b/>
                <w:szCs w:val="21"/>
              </w:rPr>
            </w:pPr>
            <w:r>
              <w:rPr>
                <w:rFonts w:hint="eastAsia" w:ascii="宋体" w:hAnsi="宋体" w:eastAsia="宋体" w:cs="宋体"/>
                <w:b/>
                <w:szCs w:val="21"/>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14:paraId="61C5DBA5">
            <w:pPr>
              <w:adjustRightInd w:val="0"/>
              <w:jc w:val="center"/>
              <w:rPr>
                <w:rFonts w:hint="eastAsia" w:ascii="宋体" w:hAnsi="宋体" w:eastAsia="宋体" w:cs="宋体"/>
                <w:b/>
                <w:szCs w:val="21"/>
              </w:rPr>
            </w:pPr>
            <w:r>
              <w:rPr>
                <w:rFonts w:hint="eastAsia" w:ascii="宋体" w:hAnsi="宋体" w:eastAsia="宋体" w:cs="宋体"/>
                <w:b/>
                <w:szCs w:val="21"/>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14:paraId="2C66C99E">
            <w:pPr>
              <w:adjustRightInd w:val="0"/>
              <w:jc w:val="center"/>
              <w:rPr>
                <w:rFonts w:hint="eastAsia" w:ascii="宋体" w:hAnsi="宋体" w:eastAsia="宋体" w:cs="宋体"/>
                <w:b/>
                <w:szCs w:val="21"/>
              </w:rPr>
            </w:pPr>
            <w:r>
              <w:rPr>
                <w:rFonts w:hint="eastAsia" w:ascii="宋体" w:hAnsi="宋体" w:eastAsia="宋体" w:cs="宋体"/>
                <w:b/>
                <w:szCs w:val="21"/>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14:paraId="3992CD4C">
            <w:pPr>
              <w:adjustRightInd w:val="0"/>
              <w:jc w:val="center"/>
              <w:rPr>
                <w:rFonts w:hint="eastAsia" w:ascii="宋体" w:hAnsi="宋体" w:eastAsia="宋体" w:cs="宋体"/>
                <w:b/>
                <w:szCs w:val="21"/>
              </w:rPr>
            </w:pPr>
            <w:r>
              <w:rPr>
                <w:rFonts w:hint="eastAsia" w:ascii="宋体" w:hAnsi="宋体" w:eastAsia="宋体" w:cs="宋体"/>
                <w:b/>
                <w:szCs w:val="21"/>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14:paraId="6504D9C7">
            <w:pPr>
              <w:adjustRightInd w:val="0"/>
              <w:jc w:val="center"/>
              <w:rPr>
                <w:rFonts w:hint="eastAsia" w:ascii="宋体" w:hAnsi="宋体" w:eastAsia="宋体" w:cs="宋体"/>
                <w:b/>
                <w:szCs w:val="21"/>
              </w:rPr>
            </w:pPr>
            <w:r>
              <w:rPr>
                <w:rFonts w:hint="eastAsia" w:ascii="宋体" w:hAnsi="宋体" w:eastAsia="宋体" w:cs="宋体"/>
                <w:b/>
                <w:szCs w:val="21"/>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14:paraId="34C7B574">
            <w:pPr>
              <w:adjustRightInd w:val="0"/>
              <w:jc w:val="center"/>
              <w:rPr>
                <w:rFonts w:hint="eastAsia" w:ascii="宋体" w:hAnsi="宋体" w:eastAsia="宋体" w:cs="宋体"/>
                <w:b/>
                <w:szCs w:val="21"/>
              </w:rPr>
            </w:pPr>
            <w:r>
              <w:rPr>
                <w:rFonts w:hint="eastAsia" w:ascii="宋体" w:hAnsi="宋体" w:eastAsia="宋体" w:cs="宋体"/>
                <w:b/>
                <w:szCs w:val="21"/>
              </w:rPr>
              <w:t>认证情况</w:t>
            </w:r>
          </w:p>
        </w:tc>
      </w:tr>
      <w:tr w14:paraId="365F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44B5B87E">
            <w:pPr>
              <w:adjustRightInd w:val="0"/>
              <w:jc w:val="left"/>
              <w:rPr>
                <w:rFonts w:hint="eastAsia" w:ascii="宋体" w:hAnsi="宋体" w:eastAsia="宋体" w:cs="宋体"/>
                <w:szCs w:val="21"/>
              </w:rPr>
            </w:pPr>
            <w:r>
              <w:rPr>
                <w:rFonts w:hint="eastAsia" w:ascii="宋体" w:hAnsi="宋体" w:eastAsia="宋体" w:cs="宋体"/>
                <w:szCs w:val="21"/>
              </w:rPr>
              <w:t>项目管理人员</w:t>
            </w:r>
          </w:p>
          <w:p w14:paraId="552BDB3A">
            <w:pPr>
              <w:adjustRightInd w:val="0"/>
              <w:jc w:val="left"/>
              <w:rPr>
                <w:rFonts w:hint="eastAsia" w:ascii="宋体" w:hAnsi="宋体" w:eastAsia="宋体" w:cs="宋体"/>
                <w:szCs w:val="21"/>
              </w:rPr>
            </w:pPr>
            <w:r>
              <w:rPr>
                <w:rFonts w:hint="eastAsia" w:ascii="宋体" w:hAnsi="宋体" w:eastAsia="宋体" w:cs="宋体"/>
                <w:szCs w:val="21"/>
              </w:rPr>
              <w:t>（一）项目负责人</w:t>
            </w:r>
          </w:p>
        </w:tc>
      </w:tr>
      <w:tr w14:paraId="388E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120380D5">
            <w:pPr>
              <w:adjustRightInd w:val="0"/>
              <w:jc w:val="center"/>
              <w:rPr>
                <w:rFonts w:hint="eastAsia" w:ascii="宋体" w:hAnsi="宋体" w:eastAsia="宋体" w:cs="宋体"/>
                <w:szCs w:val="21"/>
              </w:rPr>
            </w:pPr>
            <w:r>
              <w:rPr>
                <w:rFonts w:hint="eastAsia" w:ascii="宋体" w:hAnsi="宋体" w:eastAsia="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052D62AD">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A3601DD">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65690309">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529BA13">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0EE704E2">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6EFAA9B1">
            <w:pPr>
              <w:adjustRightInd w:val="0"/>
              <w:jc w:val="center"/>
              <w:rPr>
                <w:rFonts w:hint="eastAsia" w:ascii="宋体" w:hAnsi="宋体" w:eastAsia="宋体" w:cs="宋体"/>
                <w:szCs w:val="21"/>
              </w:rPr>
            </w:pPr>
          </w:p>
        </w:tc>
      </w:tr>
      <w:tr w14:paraId="4171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43753E72">
            <w:pPr>
              <w:adjustRightInd w:val="0"/>
              <w:jc w:val="center"/>
              <w:rPr>
                <w:rFonts w:hint="eastAsia" w:ascii="宋体" w:hAnsi="宋体" w:eastAsia="宋体" w:cs="宋体"/>
                <w:szCs w:val="21"/>
              </w:rPr>
            </w:pPr>
            <w:r>
              <w:rPr>
                <w:rFonts w:hint="eastAsia" w:ascii="宋体" w:hAnsi="宋体" w:eastAsia="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434AD2EE">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252BB200">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2AD8ED38">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C53BFCE">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18C88BA2">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1BD4718C">
            <w:pPr>
              <w:adjustRightInd w:val="0"/>
              <w:jc w:val="center"/>
              <w:rPr>
                <w:rFonts w:hint="eastAsia" w:ascii="宋体" w:hAnsi="宋体" w:eastAsia="宋体" w:cs="宋体"/>
                <w:szCs w:val="21"/>
              </w:rPr>
            </w:pPr>
          </w:p>
        </w:tc>
      </w:tr>
      <w:tr w14:paraId="6B74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28D6B61B">
            <w:pPr>
              <w:adjustRightInd w:val="0"/>
              <w:jc w:val="center"/>
              <w:rPr>
                <w:rFonts w:hint="eastAsia" w:ascii="宋体" w:hAnsi="宋体" w:eastAsia="宋体" w:cs="宋体"/>
                <w:szCs w:val="21"/>
              </w:rPr>
            </w:pPr>
            <w:r>
              <w:rPr>
                <w:rFonts w:hint="eastAsia" w:ascii="宋体" w:hAnsi="宋体" w:eastAsia="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6A2CE178">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2FD768F3">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5571483">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35E69D0">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3A6A0599">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4CEEE257">
            <w:pPr>
              <w:adjustRightInd w:val="0"/>
              <w:jc w:val="center"/>
              <w:rPr>
                <w:rFonts w:hint="eastAsia" w:ascii="宋体" w:hAnsi="宋体" w:eastAsia="宋体" w:cs="宋体"/>
                <w:szCs w:val="21"/>
              </w:rPr>
            </w:pPr>
          </w:p>
        </w:tc>
      </w:tr>
      <w:tr w14:paraId="6E9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61CEACBF">
            <w:pPr>
              <w:adjustRightInd w:val="0"/>
              <w:jc w:val="left"/>
              <w:rPr>
                <w:rFonts w:hint="eastAsia" w:ascii="宋体" w:hAnsi="宋体" w:eastAsia="宋体" w:cs="宋体"/>
                <w:szCs w:val="21"/>
              </w:rPr>
            </w:pPr>
            <w:r>
              <w:rPr>
                <w:rFonts w:hint="eastAsia" w:ascii="宋体" w:hAnsi="宋体" w:eastAsia="宋体" w:cs="宋体"/>
                <w:szCs w:val="21"/>
              </w:rPr>
              <w:t>（二）技术负责人</w:t>
            </w:r>
          </w:p>
        </w:tc>
      </w:tr>
      <w:tr w14:paraId="38A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3D616E7B">
            <w:pPr>
              <w:adjustRightInd w:val="0"/>
              <w:jc w:val="center"/>
              <w:rPr>
                <w:rFonts w:hint="eastAsia" w:ascii="宋体" w:hAnsi="宋体" w:eastAsia="宋体" w:cs="宋体"/>
                <w:szCs w:val="21"/>
              </w:rPr>
            </w:pPr>
            <w:r>
              <w:rPr>
                <w:rFonts w:hint="eastAsia" w:ascii="宋体" w:hAnsi="宋体" w:eastAsia="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505E8332">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3D711FBB">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0FE7F8FA">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BB5179B">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1DBBAF4">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6827FC77">
            <w:pPr>
              <w:adjustRightInd w:val="0"/>
              <w:jc w:val="center"/>
              <w:rPr>
                <w:rFonts w:hint="eastAsia" w:ascii="宋体" w:hAnsi="宋体" w:eastAsia="宋体" w:cs="宋体"/>
                <w:szCs w:val="21"/>
              </w:rPr>
            </w:pPr>
          </w:p>
        </w:tc>
      </w:tr>
      <w:tr w14:paraId="4E89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6A15F301">
            <w:pPr>
              <w:adjustRightInd w:val="0"/>
              <w:jc w:val="center"/>
              <w:rPr>
                <w:rFonts w:hint="eastAsia" w:ascii="宋体" w:hAnsi="宋体" w:eastAsia="宋体" w:cs="宋体"/>
                <w:szCs w:val="21"/>
              </w:rPr>
            </w:pPr>
            <w:r>
              <w:rPr>
                <w:rFonts w:hint="eastAsia" w:ascii="宋体" w:hAnsi="宋体" w:eastAsia="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0420D3B5">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2BFAF9D5">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4414738B">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EEE9691">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EE640CA">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3A46BFB7">
            <w:pPr>
              <w:adjustRightInd w:val="0"/>
              <w:jc w:val="center"/>
              <w:rPr>
                <w:rFonts w:hint="eastAsia" w:ascii="宋体" w:hAnsi="宋体" w:eastAsia="宋体" w:cs="宋体"/>
                <w:szCs w:val="21"/>
              </w:rPr>
            </w:pPr>
          </w:p>
        </w:tc>
      </w:tr>
      <w:tr w14:paraId="754A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6F9222F8">
            <w:pPr>
              <w:adjustRightInd w:val="0"/>
              <w:jc w:val="center"/>
              <w:rPr>
                <w:rFonts w:hint="eastAsia" w:ascii="宋体" w:hAnsi="宋体" w:eastAsia="宋体" w:cs="宋体"/>
                <w:szCs w:val="21"/>
              </w:rPr>
            </w:pPr>
            <w:r>
              <w:rPr>
                <w:rFonts w:hint="eastAsia" w:ascii="宋体" w:hAnsi="宋体" w:eastAsia="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7BAC2F2F">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1779ED2">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E9C490F">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116C8CB">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1770900B">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13EC5D5C">
            <w:pPr>
              <w:adjustRightInd w:val="0"/>
              <w:jc w:val="center"/>
              <w:rPr>
                <w:rFonts w:hint="eastAsia" w:ascii="宋体" w:hAnsi="宋体" w:eastAsia="宋体" w:cs="宋体"/>
                <w:szCs w:val="21"/>
              </w:rPr>
            </w:pPr>
          </w:p>
        </w:tc>
      </w:tr>
      <w:tr w14:paraId="5C5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2332210F">
            <w:pPr>
              <w:adjustRightInd w:val="0"/>
              <w:jc w:val="left"/>
              <w:rPr>
                <w:rFonts w:hint="eastAsia" w:ascii="宋体" w:hAnsi="宋体" w:eastAsia="宋体" w:cs="宋体"/>
                <w:szCs w:val="21"/>
              </w:rPr>
            </w:pPr>
            <w:r>
              <w:rPr>
                <w:rFonts w:hint="eastAsia" w:ascii="宋体" w:hAnsi="宋体" w:eastAsia="宋体" w:cs="宋体"/>
                <w:szCs w:val="21"/>
              </w:rPr>
              <w:t>二、XX人员</w:t>
            </w:r>
          </w:p>
        </w:tc>
      </w:tr>
      <w:tr w14:paraId="2EA1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7D66912D">
            <w:pPr>
              <w:adjustRightInd w:val="0"/>
              <w:jc w:val="center"/>
              <w:rPr>
                <w:rFonts w:hint="eastAsia" w:ascii="宋体" w:hAnsi="宋体" w:eastAsia="宋体" w:cs="宋体"/>
                <w:szCs w:val="21"/>
              </w:rPr>
            </w:pPr>
            <w:r>
              <w:rPr>
                <w:rFonts w:hint="eastAsia" w:ascii="宋体" w:hAnsi="宋体" w:eastAsia="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32AF4FD7">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1DEDF22F">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3D3EFFB">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4785BE7">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1A690153">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48ADD4F5">
            <w:pPr>
              <w:adjustRightInd w:val="0"/>
              <w:jc w:val="center"/>
              <w:rPr>
                <w:rFonts w:hint="eastAsia" w:ascii="宋体" w:hAnsi="宋体" w:eastAsia="宋体" w:cs="宋体"/>
                <w:szCs w:val="21"/>
              </w:rPr>
            </w:pPr>
          </w:p>
        </w:tc>
      </w:tr>
      <w:tr w14:paraId="5820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1FD9A2B8">
            <w:pPr>
              <w:adjustRightInd w:val="0"/>
              <w:jc w:val="center"/>
              <w:rPr>
                <w:rFonts w:hint="eastAsia" w:ascii="宋体" w:hAnsi="宋体" w:eastAsia="宋体" w:cs="宋体"/>
                <w:szCs w:val="21"/>
              </w:rPr>
            </w:pPr>
            <w:r>
              <w:rPr>
                <w:rFonts w:hint="eastAsia" w:ascii="宋体" w:hAnsi="宋体" w:eastAsia="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542958C1">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95F5176">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4D4C0D79">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74D2E84">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1D418FB5">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6E2A31AE">
            <w:pPr>
              <w:adjustRightInd w:val="0"/>
              <w:jc w:val="center"/>
              <w:rPr>
                <w:rFonts w:hint="eastAsia" w:ascii="宋体" w:hAnsi="宋体" w:eastAsia="宋体" w:cs="宋体"/>
                <w:szCs w:val="21"/>
              </w:rPr>
            </w:pPr>
          </w:p>
        </w:tc>
      </w:tr>
      <w:tr w14:paraId="5FC7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0FF8F111">
            <w:pPr>
              <w:adjustRightInd w:val="0"/>
              <w:jc w:val="center"/>
              <w:rPr>
                <w:rFonts w:hint="eastAsia" w:ascii="宋体" w:hAnsi="宋体" w:eastAsia="宋体" w:cs="宋体"/>
                <w:szCs w:val="21"/>
              </w:rPr>
            </w:pPr>
            <w:r>
              <w:rPr>
                <w:rFonts w:hint="eastAsia" w:ascii="宋体" w:hAnsi="宋体" w:eastAsia="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3B3DA692">
            <w:pPr>
              <w:adjustRightInd w:val="0"/>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3F1FF00F">
            <w:pPr>
              <w:adjustRightInd w:val="0"/>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6533BFE4">
            <w:pPr>
              <w:adjustRightInd w:val="0"/>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2AD1E08">
            <w:pPr>
              <w:adjustRightInd w:val="0"/>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4555F0D7">
            <w:pPr>
              <w:adjustRightInd w:val="0"/>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2730F2A8">
            <w:pPr>
              <w:adjustRightInd w:val="0"/>
              <w:jc w:val="center"/>
              <w:rPr>
                <w:rFonts w:hint="eastAsia" w:ascii="宋体" w:hAnsi="宋体" w:eastAsia="宋体" w:cs="宋体"/>
                <w:szCs w:val="21"/>
              </w:rPr>
            </w:pPr>
          </w:p>
        </w:tc>
      </w:tr>
      <w:tr w14:paraId="1BB5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47411079">
            <w:pPr>
              <w:adjustRightInd w:val="0"/>
              <w:jc w:val="left"/>
              <w:rPr>
                <w:rFonts w:hint="eastAsia" w:ascii="宋体" w:hAnsi="宋体" w:eastAsia="宋体" w:cs="宋体"/>
                <w:szCs w:val="21"/>
              </w:rPr>
            </w:pPr>
            <w:r>
              <w:rPr>
                <w:rFonts w:hint="eastAsia" w:ascii="宋体" w:hAnsi="宋体" w:eastAsia="宋体" w:cs="宋体"/>
                <w:szCs w:val="21"/>
              </w:rPr>
              <w:t>三、XX人员</w:t>
            </w:r>
          </w:p>
        </w:tc>
      </w:tr>
      <w:tr w14:paraId="234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BBB1F05">
            <w:pPr>
              <w:adjustRightInd w:val="0"/>
              <w:jc w:val="center"/>
              <w:rPr>
                <w:rFonts w:hint="eastAsia" w:ascii="宋体" w:hAnsi="宋体" w:eastAsia="宋体" w:cs="宋体"/>
                <w:szCs w:val="21"/>
              </w:rPr>
            </w:pPr>
            <w:r>
              <w:rPr>
                <w:rFonts w:hint="eastAsia" w:ascii="宋体" w:hAnsi="宋体" w:eastAsia="宋体" w:cs="宋体"/>
                <w:szCs w:val="21"/>
              </w:rPr>
              <w:t>1</w:t>
            </w:r>
          </w:p>
        </w:tc>
        <w:tc>
          <w:tcPr>
            <w:tcW w:w="1356" w:type="dxa"/>
            <w:vAlign w:val="center"/>
          </w:tcPr>
          <w:p w14:paraId="4ECF5C42">
            <w:pPr>
              <w:adjustRightInd w:val="0"/>
              <w:jc w:val="center"/>
              <w:rPr>
                <w:rFonts w:hint="eastAsia" w:ascii="宋体" w:hAnsi="宋体" w:eastAsia="宋体" w:cs="宋体"/>
                <w:szCs w:val="21"/>
              </w:rPr>
            </w:pPr>
          </w:p>
        </w:tc>
        <w:tc>
          <w:tcPr>
            <w:tcW w:w="1187" w:type="dxa"/>
            <w:vAlign w:val="center"/>
          </w:tcPr>
          <w:p w14:paraId="620FAFA1">
            <w:pPr>
              <w:adjustRightInd w:val="0"/>
              <w:jc w:val="center"/>
              <w:rPr>
                <w:rFonts w:hint="eastAsia" w:ascii="宋体" w:hAnsi="宋体" w:eastAsia="宋体" w:cs="宋体"/>
                <w:szCs w:val="21"/>
              </w:rPr>
            </w:pPr>
          </w:p>
        </w:tc>
        <w:tc>
          <w:tcPr>
            <w:tcW w:w="1189" w:type="dxa"/>
            <w:vAlign w:val="center"/>
          </w:tcPr>
          <w:p w14:paraId="3762ABE6">
            <w:pPr>
              <w:adjustRightInd w:val="0"/>
              <w:jc w:val="center"/>
              <w:rPr>
                <w:rFonts w:hint="eastAsia" w:ascii="宋体" w:hAnsi="宋体" w:eastAsia="宋体" w:cs="宋体"/>
                <w:szCs w:val="21"/>
              </w:rPr>
            </w:pPr>
          </w:p>
        </w:tc>
        <w:tc>
          <w:tcPr>
            <w:tcW w:w="1275" w:type="dxa"/>
            <w:vAlign w:val="center"/>
          </w:tcPr>
          <w:p w14:paraId="7D6172FB">
            <w:pPr>
              <w:adjustRightInd w:val="0"/>
              <w:jc w:val="center"/>
              <w:rPr>
                <w:rFonts w:hint="eastAsia" w:ascii="宋体" w:hAnsi="宋体" w:eastAsia="宋体" w:cs="宋体"/>
                <w:szCs w:val="21"/>
              </w:rPr>
            </w:pPr>
          </w:p>
        </w:tc>
        <w:tc>
          <w:tcPr>
            <w:tcW w:w="1243" w:type="dxa"/>
            <w:vAlign w:val="center"/>
          </w:tcPr>
          <w:p w14:paraId="5094B32B">
            <w:pPr>
              <w:adjustRightInd w:val="0"/>
              <w:jc w:val="center"/>
              <w:rPr>
                <w:rFonts w:hint="eastAsia" w:ascii="宋体" w:hAnsi="宋体" w:eastAsia="宋体" w:cs="宋体"/>
                <w:szCs w:val="21"/>
              </w:rPr>
            </w:pPr>
          </w:p>
        </w:tc>
        <w:tc>
          <w:tcPr>
            <w:tcW w:w="1916" w:type="dxa"/>
            <w:vAlign w:val="center"/>
          </w:tcPr>
          <w:p w14:paraId="4656428F">
            <w:pPr>
              <w:adjustRightInd w:val="0"/>
              <w:jc w:val="center"/>
              <w:rPr>
                <w:rFonts w:hint="eastAsia" w:ascii="宋体" w:hAnsi="宋体" w:eastAsia="宋体" w:cs="宋体"/>
                <w:szCs w:val="21"/>
              </w:rPr>
            </w:pPr>
          </w:p>
        </w:tc>
      </w:tr>
      <w:tr w14:paraId="58DB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73BDD2A">
            <w:pPr>
              <w:adjustRightInd w:val="0"/>
              <w:jc w:val="center"/>
              <w:rPr>
                <w:rFonts w:hint="eastAsia" w:ascii="宋体" w:hAnsi="宋体" w:eastAsia="宋体" w:cs="宋体"/>
                <w:szCs w:val="21"/>
              </w:rPr>
            </w:pPr>
            <w:r>
              <w:rPr>
                <w:rFonts w:hint="eastAsia" w:ascii="宋体" w:hAnsi="宋体" w:eastAsia="宋体" w:cs="宋体"/>
                <w:szCs w:val="21"/>
              </w:rPr>
              <w:t>2</w:t>
            </w:r>
          </w:p>
        </w:tc>
        <w:tc>
          <w:tcPr>
            <w:tcW w:w="1356" w:type="dxa"/>
            <w:vAlign w:val="center"/>
          </w:tcPr>
          <w:p w14:paraId="4D4F1CD4">
            <w:pPr>
              <w:adjustRightInd w:val="0"/>
              <w:jc w:val="center"/>
              <w:rPr>
                <w:rFonts w:hint="eastAsia" w:ascii="宋体" w:hAnsi="宋体" w:eastAsia="宋体" w:cs="宋体"/>
                <w:szCs w:val="21"/>
              </w:rPr>
            </w:pPr>
          </w:p>
        </w:tc>
        <w:tc>
          <w:tcPr>
            <w:tcW w:w="1187" w:type="dxa"/>
            <w:vAlign w:val="center"/>
          </w:tcPr>
          <w:p w14:paraId="0465CE6A">
            <w:pPr>
              <w:adjustRightInd w:val="0"/>
              <w:jc w:val="center"/>
              <w:rPr>
                <w:rFonts w:hint="eastAsia" w:ascii="宋体" w:hAnsi="宋体" w:eastAsia="宋体" w:cs="宋体"/>
                <w:szCs w:val="21"/>
              </w:rPr>
            </w:pPr>
          </w:p>
        </w:tc>
        <w:tc>
          <w:tcPr>
            <w:tcW w:w="1189" w:type="dxa"/>
            <w:vAlign w:val="center"/>
          </w:tcPr>
          <w:p w14:paraId="608045FD">
            <w:pPr>
              <w:adjustRightInd w:val="0"/>
              <w:jc w:val="center"/>
              <w:rPr>
                <w:rFonts w:hint="eastAsia" w:ascii="宋体" w:hAnsi="宋体" w:eastAsia="宋体" w:cs="宋体"/>
                <w:szCs w:val="21"/>
              </w:rPr>
            </w:pPr>
          </w:p>
        </w:tc>
        <w:tc>
          <w:tcPr>
            <w:tcW w:w="1275" w:type="dxa"/>
            <w:vAlign w:val="center"/>
          </w:tcPr>
          <w:p w14:paraId="4083FA16">
            <w:pPr>
              <w:adjustRightInd w:val="0"/>
              <w:jc w:val="center"/>
              <w:rPr>
                <w:rFonts w:hint="eastAsia" w:ascii="宋体" w:hAnsi="宋体" w:eastAsia="宋体" w:cs="宋体"/>
                <w:szCs w:val="21"/>
              </w:rPr>
            </w:pPr>
          </w:p>
        </w:tc>
        <w:tc>
          <w:tcPr>
            <w:tcW w:w="1243" w:type="dxa"/>
            <w:vAlign w:val="center"/>
          </w:tcPr>
          <w:p w14:paraId="62CB8533">
            <w:pPr>
              <w:adjustRightInd w:val="0"/>
              <w:jc w:val="center"/>
              <w:rPr>
                <w:rFonts w:hint="eastAsia" w:ascii="宋体" w:hAnsi="宋体" w:eastAsia="宋体" w:cs="宋体"/>
                <w:szCs w:val="21"/>
              </w:rPr>
            </w:pPr>
          </w:p>
        </w:tc>
        <w:tc>
          <w:tcPr>
            <w:tcW w:w="1916" w:type="dxa"/>
            <w:vAlign w:val="center"/>
          </w:tcPr>
          <w:p w14:paraId="70BF1163">
            <w:pPr>
              <w:adjustRightInd w:val="0"/>
              <w:jc w:val="center"/>
              <w:rPr>
                <w:rFonts w:hint="eastAsia" w:ascii="宋体" w:hAnsi="宋体" w:eastAsia="宋体" w:cs="宋体"/>
                <w:szCs w:val="21"/>
              </w:rPr>
            </w:pPr>
          </w:p>
        </w:tc>
      </w:tr>
      <w:tr w14:paraId="16F2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A1A218A">
            <w:pPr>
              <w:adjustRightInd w:val="0"/>
              <w:jc w:val="center"/>
              <w:rPr>
                <w:rFonts w:hint="eastAsia" w:ascii="宋体" w:hAnsi="宋体" w:eastAsia="宋体" w:cs="宋体"/>
                <w:szCs w:val="21"/>
              </w:rPr>
            </w:pPr>
            <w:r>
              <w:rPr>
                <w:rFonts w:hint="eastAsia" w:ascii="宋体" w:hAnsi="宋体" w:eastAsia="宋体" w:cs="宋体"/>
                <w:szCs w:val="21"/>
              </w:rPr>
              <w:t>……</w:t>
            </w:r>
          </w:p>
        </w:tc>
        <w:tc>
          <w:tcPr>
            <w:tcW w:w="1356" w:type="dxa"/>
            <w:vAlign w:val="center"/>
          </w:tcPr>
          <w:p w14:paraId="0DE0C9F3">
            <w:pPr>
              <w:adjustRightInd w:val="0"/>
              <w:jc w:val="center"/>
              <w:rPr>
                <w:rFonts w:hint="eastAsia" w:ascii="宋体" w:hAnsi="宋体" w:eastAsia="宋体" w:cs="宋体"/>
                <w:szCs w:val="21"/>
              </w:rPr>
            </w:pPr>
          </w:p>
        </w:tc>
        <w:tc>
          <w:tcPr>
            <w:tcW w:w="1187" w:type="dxa"/>
            <w:vAlign w:val="center"/>
          </w:tcPr>
          <w:p w14:paraId="29C30FA9">
            <w:pPr>
              <w:adjustRightInd w:val="0"/>
              <w:jc w:val="center"/>
              <w:rPr>
                <w:rFonts w:hint="eastAsia" w:ascii="宋体" w:hAnsi="宋体" w:eastAsia="宋体" w:cs="宋体"/>
                <w:szCs w:val="21"/>
              </w:rPr>
            </w:pPr>
          </w:p>
        </w:tc>
        <w:tc>
          <w:tcPr>
            <w:tcW w:w="1189" w:type="dxa"/>
            <w:vAlign w:val="center"/>
          </w:tcPr>
          <w:p w14:paraId="2566EF59">
            <w:pPr>
              <w:adjustRightInd w:val="0"/>
              <w:jc w:val="center"/>
              <w:rPr>
                <w:rFonts w:hint="eastAsia" w:ascii="宋体" w:hAnsi="宋体" w:eastAsia="宋体" w:cs="宋体"/>
                <w:szCs w:val="21"/>
              </w:rPr>
            </w:pPr>
          </w:p>
        </w:tc>
        <w:tc>
          <w:tcPr>
            <w:tcW w:w="1275" w:type="dxa"/>
            <w:vAlign w:val="center"/>
          </w:tcPr>
          <w:p w14:paraId="51E69D20">
            <w:pPr>
              <w:adjustRightInd w:val="0"/>
              <w:jc w:val="center"/>
              <w:rPr>
                <w:rFonts w:hint="eastAsia" w:ascii="宋体" w:hAnsi="宋体" w:eastAsia="宋体" w:cs="宋体"/>
                <w:szCs w:val="21"/>
              </w:rPr>
            </w:pPr>
          </w:p>
        </w:tc>
        <w:tc>
          <w:tcPr>
            <w:tcW w:w="1243" w:type="dxa"/>
            <w:vAlign w:val="center"/>
          </w:tcPr>
          <w:p w14:paraId="0098E690">
            <w:pPr>
              <w:adjustRightInd w:val="0"/>
              <w:jc w:val="center"/>
              <w:rPr>
                <w:rFonts w:hint="eastAsia" w:ascii="宋体" w:hAnsi="宋体" w:eastAsia="宋体" w:cs="宋体"/>
                <w:szCs w:val="21"/>
              </w:rPr>
            </w:pPr>
          </w:p>
        </w:tc>
        <w:tc>
          <w:tcPr>
            <w:tcW w:w="1916" w:type="dxa"/>
            <w:vAlign w:val="center"/>
          </w:tcPr>
          <w:p w14:paraId="1E247844">
            <w:pPr>
              <w:adjustRightInd w:val="0"/>
              <w:jc w:val="center"/>
              <w:rPr>
                <w:rFonts w:hint="eastAsia" w:ascii="宋体" w:hAnsi="宋体" w:eastAsia="宋体" w:cs="宋体"/>
                <w:szCs w:val="21"/>
              </w:rPr>
            </w:pPr>
          </w:p>
        </w:tc>
      </w:tr>
      <w:bookmarkEnd w:id="52"/>
    </w:tbl>
    <w:p w14:paraId="748DB1D3">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249A6BEA">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投标人须按照上述格式填写投入本项目所有人员的相关信息。</w:t>
      </w:r>
    </w:p>
    <w:p w14:paraId="7907E2FA">
      <w:pPr>
        <w:topLinePunct/>
        <w:autoSpaceDE w:val="0"/>
        <w:autoSpaceDN w:val="0"/>
        <w:spacing w:line="460" w:lineRule="exact"/>
        <w:rPr>
          <w:rFonts w:hint="eastAsia" w:ascii="宋体" w:hAnsi="宋体" w:eastAsia="宋体" w:cs="宋体"/>
          <w:bCs/>
          <w:w w:val="150"/>
          <w:sz w:val="24"/>
          <w:shd w:val="clear" w:color="auto" w:fill="FFFF00"/>
        </w:rPr>
      </w:pPr>
    </w:p>
    <w:p w14:paraId="14123408">
      <w:pPr>
        <w:topLinePunct/>
        <w:autoSpaceDE w:val="0"/>
        <w:autoSpaceDN w:val="0"/>
        <w:spacing w:line="360" w:lineRule="auto"/>
        <w:jc w:val="center"/>
        <w:rPr>
          <w:rFonts w:hint="eastAsia" w:ascii="宋体" w:hAnsi="宋体" w:eastAsia="宋体" w:cs="宋体"/>
          <w:b/>
          <w:bCs/>
          <w:sz w:val="28"/>
          <w:szCs w:val="28"/>
        </w:rPr>
      </w:pPr>
      <w:r>
        <w:rPr>
          <w:rFonts w:hint="eastAsia" w:ascii="宋体" w:hAnsi="宋体" w:eastAsia="宋体" w:cs="宋体"/>
          <w:b/>
          <w:sz w:val="30"/>
          <w:szCs w:val="30"/>
        </w:rPr>
        <w:br w:type="page"/>
      </w:r>
      <w:r>
        <w:rPr>
          <w:rFonts w:hint="eastAsia" w:ascii="宋体" w:hAnsi="宋体" w:eastAsia="宋体" w:cs="宋体"/>
          <w:b/>
          <w:bCs/>
          <w:sz w:val="28"/>
          <w:szCs w:val="28"/>
        </w:rPr>
        <w:t>格式12 技术人员简历表</w:t>
      </w:r>
    </w:p>
    <w:tbl>
      <w:tblPr>
        <w:tblStyle w:val="29"/>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902"/>
      </w:tblGrid>
      <w:tr w14:paraId="7195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51760E19">
            <w:pPr>
              <w:adjustRightInd w:val="0"/>
              <w:jc w:val="center"/>
              <w:rPr>
                <w:rFonts w:hint="eastAsia" w:ascii="宋体" w:hAnsi="宋体" w:eastAsia="宋体" w:cs="宋体"/>
                <w:szCs w:val="21"/>
              </w:rPr>
            </w:pPr>
            <w:r>
              <w:rPr>
                <w:rFonts w:hint="eastAsia" w:ascii="宋体" w:hAnsi="宋体" w:eastAsia="宋体" w:cs="宋体"/>
                <w:szCs w:val="21"/>
              </w:rPr>
              <w:t>姓   名</w:t>
            </w:r>
          </w:p>
        </w:tc>
        <w:tc>
          <w:tcPr>
            <w:tcW w:w="1713" w:type="dxa"/>
            <w:tcBorders>
              <w:top w:val="single" w:color="auto" w:sz="4" w:space="0"/>
              <w:left w:val="single" w:color="auto" w:sz="4" w:space="0"/>
              <w:bottom w:val="single" w:color="auto" w:sz="4" w:space="0"/>
              <w:right w:val="single" w:color="auto" w:sz="4" w:space="0"/>
            </w:tcBorders>
            <w:vAlign w:val="center"/>
          </w:tcPr>
          <w:p w14:paraId="09D9B0C5">
            <w:pPr>
              <w:adjustRightInd w:val="0"/>
              <w:jc w:val="center"/>
              <w:rPr>
                <w:rFonts w:hint="eastAsia" w:ascii="宋体" w:hAnsi="宋体" w:eastAsia="宋体" w:cs="宋体"/>
                <w:szCs w:val="21"/>
              </w:rPr>
            </w:pPr>
          </w:p>
        </w:tc>
        <w:tc>
          <w:tcPr>
            <w:tcW w:w="1505" w:type="dxa"/>
            <w:tcBorders>
              <w:top w:val="single" w:color="auto" w:sz="4" w:space="0"/>
              <w:left w:val="single" w:color="auto" w:sz="4" w:space="0"/>
              <w:bottom w:val="single" w:color="auto" w:sz="4" w:space="0"/>
              <w:right w:val="single" w:color="auto" w:sz="4" w:space="0"/>
            </w:tcBorders>
            <w:vAlign w:val="center"/>
          </w:tcPr>
          <w:p w14:paraId="41984B0A">
            <w:pPr>
              <w:adjustRightInd w:val="0"/>
              <w:jc w:val="center"/>
              <w:rPr>
                <w:rFonts w:hint="eastAsia" w:ascii="宋体" w:hAnsi="宋体" w:eastAsia="宋体" w:cs="宋体"/>
                <w:szCs w:val="21"/>
              </w:rPr>
            </w:pPr>
            <w:r>
              <w:rPr>
                <w:rFonts w:hint="eastAsia" w:ascii="宋体" w:hAnsi="宋体" w:eastAsia="宋体" w:cs="宋体"/>
                <w:szCs w:val="21"/>
              </w:rPr>
              <w:t>性    别</w:t>
            </w:r>
          </w:p>
        </w:tc>
        <w:tc>
          <w:tcPr>
            <w:tcW w:w="1388" w:type="dxa"/>
            <w:tcBorders>
              <w:top w:val="single" w:color="auto" w:sz="4" w:space="0"/>
              <w:left w:val="single" w:color="auto" w:sz="4" w:space="0"/>
              <w:bottom w:val="single" w:color="auto" w:sz="4" w:space="0"/>
              <w:right w:val="single" w:color="auto" w:sz="4" w:space="0"/>
            </w:tcBorders>
            <w:vAlign w:val="center"/>
          </w:tcPr>
          <w:p w14:paraId="4B24D42D">
            <w:pPr>
              <w:adjustRightInd w:val="0"/>
              <w:jc w:val="center"/>
              <w:rPr>
                <w:rFonts w:hint="eastAsia" w:ascii="宋体" w:hAnsi="宋体" w:eastAsia="宋体" w:cs="宋体"/>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78B05563">
            <w:pPr>
              <w:adjustRightInd w:val="0"/>
              <w:jc w:val="center"/>
              <w:rPr>
                <w:rFonts w:hint="eastAsia" w:ascii="宋体" w:hAnsi="宋体" w:eastAsia="宋体" w:cs="宋体"/>
                <w:szCs w:val="21"/>
              </w:rPr>
            </w:pPr>
            <w:r>
              <w:rPr>
                <w:rFonts w:hint="eastAsia" w:ascii="宋体" w:hAnsi="宋体" w:eastAsia="宋体" w:cs="宋体"/>
                <w:szCs w:val="21"/>
              </w:rPr>
              <w:t>出生日期</w:t>
            </w:r>
          </w:p>
        </w:tc>
        <w:tc>
          <w:tcPr>
            <w:tcW w:w="902" w:type="dxa"/>
            <w:tcBorders>
              <w:top w:val="single" w:color="auto" w:sz="4" w:space="0"/>
              <w:left w:val="single" w:color="auto" w:sz="4" w:space="0"/>
              <w:bottom w:val="single" w:color="auto" w:sz="4" w:space="0"/>
              <w:right w:val="single" w:color="auto" w:sz="4" w:space="0"/>
            </w:tcBorders>
            <w:vAlign w:val="center"/>
          </w:tcPr>
          <w:p w14:paraId="6BCC2432">
            <w:pPr>
              <w:adjustRightInd w:val="0"/>
              <w:jc w:val="center"/>
              <w:rPr>
                <w:rFonts w:hint="eastAsia" w:ascii="宋体" w:hAnsi="宋体" w:eastAsia="宋体" w:cs="宋体"/>
                <w:szCs w:val="21"/>
              </w:rPr>
            </w:pPr>
          </w:p>
        </w:tc>
      </w:tr>
      <w:tr w14:paraId="708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489AB765">
            <w:pPr>
              <w:adjustRightInd w:val="0"/>
              <w:jc w:val="center"/>
              <w:rPr>
                <w:rFonts w:hint="eastAsia" w:ascii="宋体" w:hAnsi="宋体" w:eastAsia="宋体" w:cs="宋体"/>
                <w:szCs w:val="21"/>
              </w:rPr>
            </w:pPr>
            <w:r>
              <w:rPr>
                <w:rFonts w:hint="eastAsia" w:ascii="宋体" w:hAnsi="宋体" w:eastAsia="宋体" w:cs="宋体"/>
                <w:szCs w:val="21"/>
              </w:rPr>
              <w:t>学   历</w:t>
            </w:r>
          </w:p>
        </w:tc>
        <w:tc>
          <w:tcPr>
            <w:tcW w:w="1713" w:type="dxa"/>
            <w:tcBorders>
              <w:top w:val="single" w:color="auto" w:sz="4" w:space="0"/>
              <w:left w:val="single" w:color="auto" w:sz="4" w:space="0"/>
              <w:bottom w:val="single" w:color="auto" w:sz="4" w:space="0"/>
              <w:right w:val="single" w:color="auto" w:sz="4" w:space="0"/>
            </w:tcBorders>
            <w:vAlign w:val="center"/>
          </w:tcPr>
          <w:p w14:paraId="4FC74BDC">
            <w:pPr>
              <w:adjustRightInd w:val="0"/>
              <w:jc w:val="center"/>
              <w:rPr>
                <w:rFonts w:hint="eastAsia" w:ascii="宋体" w:hAnsi="宋体" w:eastAsia="宋体" w:cs="宋体"/>
                <w:szCs w:val="21"/>
              </w:rPr>
            </w:pPr>
          </w:p>
        </w:tc>
        <w:tc>
          <w:tcPr>
            <w:tcW w:w="1505" w:type="dxa"/>
            <w:tcBorders>
              <w:top w:val="single" w:color="auto" w:sz="4" w:space="0"/>
              <w:left w:val="single" w:color="auto" w:sz="4" w:space="0"/>
              <w:bottom w:val="single" w:color="auto" w:sz="4" w:space="0"/>
              <w:right w:val="single" w:color="auto" w:sz="4" w:space="0"/>
            </w:tcBorders>
            <w:vAlign w:val="center"/>
          </w:tcPr>
          <w:p w14:paraId="0B2D6640">
            <w:pPr>
              <w:adjustRightInd w:val="0"/>
              <w:jc w:val="center"/>
              <w:rPr>
                <w:rFonts w:hint="eastAsia" w:ascii="宋体" w:hAnsi="宋体" w:eastAsia="宋体" w:cs="宋体"/>
                <w:szCs w:val="21"/>
              </w:rPr>
            </w:pPr>
            <w:r>
              <w:rPr>
                <w:rFonts w:hint="eastAsia" w:ascii="宋体" w:hAnsi="宋体" w:eastAsia="宋体" w:cs="宋体"/>
                <w:szCs w:val="21"/>
              </w:rPr>
              <w:t>毕业学校</w:t>
            </w:r>
          </w:p>
        </w:tc>
        <w:tc>
          <w:tcPr>
            <w:tcW w:w="1388" w:type="dxa"/>
            <w:tcBorders>
              <w:top w:val="single" w:color="auto" w:sz="4" w:space="0"/>
              <w:left w:val="single" w:color="auto" w:sz="4" w:space="0"/>
              <w:bottom w:val="single" w:color="auto" w:sz="4" w:space="0"/>
              <w:right w:val="single" w:color="auto" w:sz="4" w:space="0"/>
            </w:tcBorders>
            <w:vAlign w:val="center"/>
          </w:tcPr>
          <w:p w14:paraId="325C1D4B">
            <w:pPr>
              <w:adjustRightInd w:val="0"/>
              <w:jc w:val="center"/>
              <w:rPr>
                <w:rFonts w:hint="eastAsia" w:ascii="宋体" w:hAnsi="宋体" w:eastAsia="宋体" w:cs="宋体"/>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060028FD">
            <w:pPr>
              <w:adjustRightInd w:val="0"/>
              <w:jc w:val="center"/>
              <w:rPr>
                <w:rFonts w:hint="eastAsia" w:ascii="宋体" w:hAnsi="宋体" w:eastAsia="宋体" w:cs="宋体"/>
                <w:szCs w:val="21"/>
              </w:rPr>
            </w:pPr>
            <w:r>
              <w:rPr>
                <w:rFonts w:hint="eastAsia" w:ascii="宋体" w:hAnsi="宋体" w:eastAsia="宋体" w:cs="宋体"/>
                <w:szCs w:val="21"/>
              </w:rPr>
              <w:t>技术职称</w:t>
            </w:r>
          </w:p>
        </w:tc>
        <w:tc>
          <w:tcPr>
            <w:tcW w:w="902" w:type="dxa"/>
            <w:tcBorders>
              <w:top w:val="single" w:color="auto" w:sz="4" w:space="0"/>
              <w:left w:val="single" w:color="auto" w:sz="4" w:space="0"/>
              <w:bottom w:val="single" w:color="auto" w:sz="4" w:space="0"/>
              <w:right w:val="single" w:color="auto" w:sz="4" w:space="0"/>
            </w:tcBorders>
            <w:vAlign w:val="center"/>
          </w:tcPr>
          <w:p w14:paraId="3B2DDFE5">
            <w:pPr>
              <w:adjustRightInd w:val="0"/>
              <w:jc w:val="center"/>
              <w:rPr>
                <w:rFonts w:hint="eastAsia" w:ascii="宋体" w:hAnsi="宋体" w:eastAsia="宋体" w:cs="宋体"/>
                <w:szCs w:val="21"/>
              </w:rPr>
            </w:pPr>
          </w:p>
        </w:tc>
      </w:tr>
      <w:tr w14:paraId="5EA4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191890E5">
            <w:pPr>
              <w:adjustRightInd w:val="0"/>
              <w:jc w:val="center"/>
              <w:rPr>
                <w:rFonts w:hint="eastAsia" w:ascii="宋体" w:hAnsi="宋体" w:eastAsia="宋体" w:cs="宋体"/>
                <w:szCs w:val="21"/>
              </w:rPr>
            </w:pPr>
            <w:r>
              <w:rPr>
                <w:rFonts w:hint="eastAsia" w:ascii="宋体" w:hAnsi="宋体" w:eastAsia="宋体" w:cs="宋体"/>
                <w:szCs w:val="21"/>
              </w:rPr>
              <w:t>公司职务</w:t>
            </w:r>
          </w:p>
        </w:tc>
        <w:tc>
          <w:tcPr>
            <w:tcW w:w="1713" w:type="dxa"/>
            <w:tcBorders>
              <w:top w:val="single" w:color="auto" w:sz="4" w:space="0"/>
              <w:left w:val="single" w:color="auto" w:sz="4" w:space="0"/>
              <w:bottom w:val="single" w:color="auto" w:sz="4" w:space="0"/>
              <w:right w:val="single" w:color="auto" w:sz="4" w:space="0"/>
            </w:tcBorders>
            <w:vAlign w:val="center"/>
          </w:tcPr>
          <w:p w14:paraId="07965FD5">
            <w:pPr>
              <w:adjustRightInd w:val="0"/>
              <w:jc w:val="center"/>
              <w:rPr>
                <w:rFonts w:hint="eastAsia" w:ascii="宋体" w:hAnsi="宋体" w:eastAsia="宋体" w:cs="宋体"/>
                <w:szCs w:val="21"/>
              </w:rPr>
            </w:pPr>
          </w:p>
        </w:tc>
        <w:tc>
          <w:tcPr>
            <w:tcW w:w="1505" w:type="dxa"/>
            <w:tcBorders>
              <w:top w:val="single" w:color="auto" w:sz="4" w:space="0"/>
              <w:left w:val="single" w:color="auto" w:sz="4" w:space="0"/>
              <w:bottom w:val="single" w:color="auto" w:sz="4" w:space="0"/>
              <w:right w:val="single" w:color="auto" w:sz="4" w:space="0"/>
            </w:tcBorders>
            <w:vAlign w:val="center"/>
          </w:tcPr>
          <w:p w14:paraId="242307C7">
            <w:pPr>
              <w:adjustRightInd w:val="0"/>
              <w:jc w:val="center"/>
              <w:rPr>
                <w:rFonts w:hint="eastAsia" w:ascii="宋体" w:hAnsi="宋体" w:eastAsia="宋体" w:cs="宋体"/>
                <w:szCs w:val="21"/>
              </w:rPr>
            </w:pPr>
            <w:r>
              <w:rPr>
                <w:rFonts w:hint="eastAsia" w:ascii="宋体" w:hAnsi="宋体" w:eastAsia="宋体" w:cs="宋体"/>
                <w:szCs w:val="21"/>
              </w:rPr>
              <w:t>任职时间</w:t>
            </w:r>
          </w:p>
        </w:tc>
        <w:tc>
          <w:tcPr>
            <w:tcW w:w="1388" w:type="dxa"/>
            <w:tcBorders>
              <w:top w:val="single" w:color="auto" w:sz="4" w:space="0"/>
              <w:left w:val="single" w:color="auto" w:sz="4" w:space="0"/>
              <w:bottom w:val="single" w:color="auto" w:sz="4" w:space="0"/>
              <w:right w:val="single" w:color="auto" w:sz="4" w:space="0"/>
            </w:tcBorders>
            <w:vAlign w:val="center"/>
          </w:tcPr>
          <w:p w14:paraId="66314108">
            <w:pPr>
              <w:adjustRightInd w:val="0"/>
              <w:jc w:val="center"/>
              <w:rPr>
                <w:rFonts w:hint="eastAsia" w:ascii="宋体" w:hAnsi="宋体" w:eastAsia="宋体" w:cs="宋体"/>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4EADCB74">
            <w:pPr>
              <w:adjustRightInd w:val="0"/>
              <w:jc w:val="center"/>
              <w:rPr>
                <w:rFonts w:hint="eastAsia" w:ascii="宋体" w:hAnsi="宋体" w:eastAsia="宋体" w:cs="宋体"/>
                <w:szCs w:val="21"/>
              </w:rPr>
            </w:pPr>
            <w:r>
              <w:rPr>
                <w:rFonts w:hint="eastAsia" w:ascii="宋体" w:hAnsi="宋体" w:eastAsia="宋体" w:cs="宋体"/>
                <w:szCs w:val="21"/>
              </w:rPr>
              <w:t>本项目任职</w:t>
            </w:r>
          </w:p>
        </w:tc>
        <w:tc>
          <w:tcPr>
            <w:tcW w:w="902" w:type="dxa"/>
            <w:tcBorders>
              <w:top w:val="single" w:color="auto" w:sz="4" w:space="0"/>
              <w:left w:val="single" w:color="auto" w:sz="4" w:space="0"/>
              <w:bottom w:val="single" w:color="auto" w:sz="4" w:space="0"/>
              <w:right w:val="single" w:color="auto" w:sz="4" w:space="0"/>
            </w:tcBorders>
            <w:vAlign w:val="center"/>
          </w:tcPr>
          <w:p w14:paraId="01DBEE25">
            <w:pPr>
              <w:adjustRightInd w:val="0"/>
              <w:jc w:val="center"/>
              <w:rPr>
                <w:rFonts w:hint="eastAsia" w:ascii="宋体" w:hAnsi="宋体" w:eastAsia="宋体" w:cs="宋体"/>
                <w:szCs w:val="21"/>
              </w:rPr>
            </w:pPr>
          </w:p>
        </w:tc>
      </w:tr>
      <w:tr w14:paraId="3B1E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14:paraId="0F6DAC80">
            <w:pPr>
              <w:adjustRightInd w:val="0"/>
              <w:jc w:val="center"/>
              <w:rPr>
                <w:rFonts w:hint="eastAsia" w:ascii="宋体" w:hAnsi="宋体" w:eastAsia="宋体" w:cs="宋体"/>
                <w:szCs w:val="21"/>
              </w:rPr>
            </w:pPr>
            <w:r>
              <w:rPr>
                <w:rFonts w:hint="eastAsia" w:ascii="宋体" w:hAnsi="宋体" w:eastAsia="宋体" w:cs="宋体"/>
                <w:szCs w:val="21"/>
              </w:rPr>
              <w:t>人员级别</w:t>
            </w:r>
          </w:p>
        </w:tc>
        <w:tc>
          <w:tcPr>
            <w:tcW w:w="1713" w:type="dxa"/>
            <w:tcBorders>
              <w:top w:val="single" w:color="auto" w:sz="4" w:space="0"/>
              <w:left w:val="single" w:color="auto" w:sz="4" w:space="0"/>
              <w:bottom w:val="single" w:color="auto" w:sz="4" w:space="0"/>
              <w:right w:val="single" w:color="auto" w:sz="4" w:space="0"/>
            </w:tcBorders>
            <w:vAlign w:val="center"/>
          </w:tcPr>
          <w:p w14:paraId="25784BF6">
            <w:pPr>
              <w:adjustRightInd w:val="0"/>
              <w:jc w:val="center"/>
              <w:rPr>
                <w:rFonts w:hint="eastAsia" w:ascii="宋体" w:hAnsi="宋体" w:eastAsia="宋体" w:cs="宋体"/>
                <w:szCs w:val="21"/>
              </w:rPr>
            </w:pPr>
          </w:p>
        </w:tc>
        <w:tc>
          <w:tcPr>
            <w:tcW w:w="1505" w:type="dxa"/>
            <w:tcBorders>
              <w:top w:val="single" w:color="auto" w:sz="4" w:space="0"/>
              <w:left w:val="single" w:color="auto" w:sz="4" w:space="0"/>
              <w:bottom w:val="single" w:color="auto" w:sz="4" w:space="0"/>
              <w:right w:val="single" w:color="auto" w:sz="4" w:space="0"/>
            </w:tcBorders>
            <w:vAlign w:val="center"/>
          </w:tcPr>
          <w:p w14:paraId="1D42C4BA">
            <w:pPr>
              <w:adjustRightInd w:val="0"/>
              <w:jc w:val="center"/>
              <w:rPr>
                <w:rFonts w:hint="eastAsia" w:ascii="宋体" w:hAnsi="宋体" w:eastAsia="宋体" w:cs="宋体"/>
                <w:szCs w:val="21"/>
              </w:rPr>
            </w:pPr>
            <w:r>
              <w:rPr>
                <w:rFonts w:hint="eastAsia" w:ascii="宋体" w:hAnsi="宋体" w:eastAsia="宋体" w:cs="宋体"/>
                <w:szCs w:val="21"/>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14:paraId="1932ECB1">
            <w:pPr>
              <w:adjustRightInd w:val="0"/>
              <w:jc w:val="center"/>
              <w:rPr>
                <w:rFonts w:hint="eastAsia" w:ascii="宋体" w:hAnsi="宋体" w:eastAsia="宋体" w:cs="宋体"/>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1B49143C">
            <w:pPr>
              <w:adjustRightInd w:val="0"/>
              <w:jc w:val="center"/>
              <w:rPr>
                <w:rFonts w:hint="eastAsia" w:ascii="宋体" w:hAnsi="宋体" w:eastAsia="宋体" w:cs="宋体"/>
                <w:szCs w:val="21"/>
              </w:rPr>
            </w:pPr>
            <w:r>
              <w:rPr>
                <w:rFonts w:hint="eastAsia" w:ascii="宋体" w:hAnsi="宋体" w:eastAsia="宋体" w:cs="宋体"/>
                <w:szCs w:val="21"/>
              </w:rPr>
              <w:t>从事XXXX年限</w:t>
            </w:r>
          </w:p>
        </w:tc>
        <w:tc>
          <w:tcPr>
            <w:tcW w:w="902" w:type="dxa"/>
            <w:tcBorders>
              <w:top w:val="single" w:color="auto" w:sz="4" w:space="0"/>
              <w:left w:val="single" w:color="auto" w:sz="4" w:space="0"/>
              <w:bottom w:val="single" w:color="auto" w:sz="4" w:space="0"/>
              <w:right w:val="single" w:color="auto" w:sz="4" w:space="0"/>
            </w:tcBorders>
            <w:vAlign w:val="center"/>
          </w:tcPr>
          <w:p w14:paraId="43B82494">
            <w:pPr>
              <w:adjustRightInd w:val="0"/>
              <w:jc w:val="center"/>
              <w:rPr>
                <w:rFonts w:hint="eastAsia" w:ascii="宋体" w:hAnsi="宋体" w:eastAsia="宋体" w:cs="宋体"/>
                <w:szCs w:val="21"/>
              </w:rPr>
            </w:pPr>
          </w:p>
        </w:tc>
      </w:tr>
      <w:tr w14:paraId="3141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14:paraId="18069667">
            <w:pPr>
              <w:adjustRightInd w:val="0"/>
              <w:jc w:val="center"/>
              <w:rPr>
                <w:rFonts w:hint="eastAsia" w:ascii="宋体" w:hAnsi="宋体" w:eastAsia="宋体" w:cs="宋体"/>
                <w:szCs w:val="21"/>
              </w:rPr>
            </w:pPr>
            <w:r>
              <w:rPr>
                <w:rFonts w:hint="eastAsia" w:ascii="宋体" w:hAnsi="宋体" w:eastAsia="宋体" w:cs="宋体"/>
                <w:szCs w:val="21"/>
              </w:rPr>
              <w:t>认证证书</w:t>
            </w:r>
          </w:p>
        </w:tc>
        <w:tc>
          <w:tcPr>
            <w:tcW w:w="7304" w:type="dxa"/>
            <w:gridSpan w:val="5"/>
            <w:tcBorders>
              <w:top w:val="single" w:color="auto" w:sz="4" w:space="0"/>
              <w:left w:val="single" w:color="auto" w:sz="4" w:space="0"/>
              <w:bottom w:val="single" w:color="auto" w:sz="4" w:space="0"/>
              <w:right w:val="single" w:color="auto" w:sz="4" w:space="0"/>
            </w:tcBorders>
            <w:vAlign w:val="center"/>
          </w:tcPr>
          <w:p w14:paraId="50E1D3FC">
            <w:pPr>
              <w:adjustRightInd w:val="0"/>
              <w:jc w:val="center"/>
              <w:rPr>
                <w:rFonts w:hint="eastAsia" w:ascii="宋体" w:hAnsi="宋体" w:eastAsia="宋体" w:cs="宋体"/>
                <w:szCs w:val="21"/>
              </w:rPr>
            </w:pPr>
          </w:p>
        </w:tc>
      </w:tr>
      <w:tr w14:paraId="397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567" w:type="dxa"/>
            <w:gridSpan w:val="6"/>
            <w:tcBorders>
              <w:top w:val="single" w:color="auto" w:sz="4" w:space="0"/>
              <w:left w:val="single" w:color="auto" w:sz="4" w:space="0"/>
              <w:bottom w:val="single" w:color="auto" w:sz="4" w:space="0"/>
              <w:right w:val="single" w:color="auto" w:sz="4" w:space="0"/>
            </w:tcBorders>
          </w:tcPr>
          <w:p w14:paraId="3E0C6499">
            <w:pPr>
              <w:rPr>
                <w:rFonts w:hint="eastAsia" w:ascii="宋体" w:hAnsi="宋体" w:eastAsia="宋体" w:cs="宋体"/>
                <w:szCs w:val="21"/>
              </w:rPr>
            </w:pPr>
            <w:r>
              <w:rPr>
                <w:rFonts w:hint="eastAsia" w:ascii="宋体" w:hAnsi="宋体" w:eastAsia="宋体" w:cs="宋体"/>
                <w:szCs w:val="21"/>
              </w:rPr>
              <w:t>工作简历及主要业绩</w:t>
            </w:r>
          </w:p>
          <w:p w14:paraId="05757425">
            <w:pPr>
              <w:adjustRightInd w:val="0"/>
              <w:rPr>
                <w:rFonts w:hint="eastAsia" w:ascii="宋体" w:hAnsi="宋体" w:eastAsia="宋体" w:cs="宋体"/>
                <w:szCs w:val="21"/>
              </w:rPr>
            </w:pPr>
          </w:p>
        </w:tc>
      </w:tr>
    </w:tbl>
    <w:p w14:paraId="022EE7CC">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14:paraId="18965888">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1.投标人应提供投入本项目所有人员的简历。</w:t>
      </w:r>
    </w:p>
    <w:p w14:paraId="3E12A79E">
      <w:pPr>
        <w:topLinePunct/>
        <w:autoSpaceDE w:val="0"/>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等人员应提供</w:t>
      </w:r>
      <w:r>
        <w:rPr>
          <w:rFonts w:hint="eastAsia" w:ascii="宋体" w:hAnsi="宋体" w:eastAsia="宋体" w:cs="宋体"/>
          <w:szCs w:val="21"/>
          <w:u w:val="single"/>
        </w:rPr>
        <w:t xml:space="preserve">       </w:t>
      </w:r>
      <w:r>
        <w:rPr>
          <w:rFonts w:hint="eastAsia" w:ascii="宋体" w:hAnsi="宋体" w:eastAsia="宋体" w:cs="宋体"/>
          <w:szCs w:val="21"/>
        </w:rPr>
        <w:t xml:space="preserve">复印件。 </w:t>
      </w:r>
    </w:p>
    <w:p w14:paraId="2B5A699C">
      <w:pPr>
        <w:widowControl/>
        <w:jc w:val="left"/>
        <w:rPr>
          <w:rFonts w:hint="eastAsia" w:ascii="宋体" w:hAnsi="宋体" w:eastAsia="宋体" w:cs="宋体"/>
        </w:rPr>
      </w:pPr>
    </w:p>
    <w:p w14:paraId="63422C61">
      <w:pPr>
        <w:widowControl/>
        <w:jc w:val="center"/>
        <w:rPr>
          <w:rFonts w:hint="eastAsia" w:ascii="宋体" w:hAnsi="宋体" w:eastAsia="宋体" w:cs="宋体"/>
          <w:b/>
          <w:bCs/>
          <w:sz w:val="36"/>
          <w:szCs w:val="36"/>
        </w:rPr>
      </w:pPr>
      <w:r>
        <w:rPr>
          <w:rFonts w:hint="eastAsia" w:ascii="宋体" w:hAnsi="宋体" w:eastAsia="宋体" w:cs="宋体"/>
          <w:b/>
          <w:bCs/>
          <w:sz w:val="36"/>
          <w:szCs w:val="36"/>
        </w:rPr>
        <w:br w:type="page"/>
      </w:r>
      <w:r>
        <w:rPr>
          <w:rFonts w:hint="eastAsia" w:ascii="宋体" w:hAnsi="宋体" w:eastAsia="宋体" w:cs="宋体"/>
          <w:b/>
          <w:bCs/>
          <w:sz w:val="28"/>
          <w:szCs w:val="28"/>
        </w:rPr>
        <w:t>格式13 投标人售后服务承诺</w:t>
      </w:r>
    </w:p>
    <w:p w14:paraId="3C2FAEEC">
      <w:pPr>
        <w:ind w:firstLine="420" w:firstLineChars="200"/>
        <w:rPr>
          <w:rFonts w:hint="eastAsia" w:ascii="宋体" w:hAnsi="宋体" w:eastAsia="宋体" w:cs="宋体"/>
          <w:szCs w:val="21"/>
        </w:rPr>
      </w:pPr>
    </w:p>
    <w:p w14:paraId="24CABF44">
      <w:pPr>
        <w:spacing w:line="360" w:lineRule="auto"/>
        <w:ind w:firstLine="420" w:firstLineChars="200"/>
        <w:jc w:val="center"/>
        <w:rPr>
          <w:rFonts w:hint="eastAsia" w:ascii="宋体" w:hAnsi="宋体" w:eastAsia="宋体" w:cs="宋体"/>
          <w:kern w:val="0"/>
          <w:szCs w:val="21"/>
        </w:rPr>
      </w:pPr>
      <w:r>
        <w:rPr>
          <w:rFonts w:hint="eastAsia" w:ascii="宋体" w:hAnsi="宋体" w:eastAsia="宋体" w:cs="宋体"/>
          <w:kern w:val="0"/>
          <w:szCs w:val="21"/>
        </w:rPr>
        <w:t>(示例略)</w:t>
      </w:r>
    </w:p>
    <w:p w14:paraId="106CBAAE">
      <w:pPr>
        <w:rPr>
          <w:rFonts w:hint="eastAsia" w:ascii="宋体" w:hAnsi="宋体" w:eastAsia="宋体" w:cs="宋体"/>
          <w:szCs w:val="21"/>
        </w:rPr>
        <w:sectPr>
          <w:pgSz w:w="11906" w:h="16838"/>
          <w:pgMar w:top="1440" w:right="1752" w:bottom="1440" w:left="1752" w:header="851" w:footer="992" w:gutter="0"/>
          <w:cols w:space="720" w:num="1"/>
          <w:titlePg/>
          <w:docGrid w:type="lines" w:linePitch="312" w:charSpace="0"/>
        </w:sectPr>
      </w:pPr>
    </w:p>
    <w:p w14:paraId="38B28AC0">
      <w:pPr>
        <w:topLinePunct/>
        <w:autoSpaceDE w:val="0"/>
        <w:autoSpaceDN w:val="0"/>
        <w:jc w:val="center"/>
        <w:rPr>
          <w:rFonts w:hint="eastAsia" w:ascii="宋体" w:hAnsi="宋体" w:eastAsia="宋体" w:cs="宋体"/>
          <w:bCs/>
          <w:sz w:val="96"/>
          <w:szCs w:val="96"/>
        </w:rPr>
      </w:pPr>
      <w:r>
        <w:rPr>
          <w:rFonts w:hint="eastAsia" w:ascii="宋体" w:hAnsi="宋体" w:eastAsia="宋体" w:cs="宋体"/>
          <w:bCs/>
          <w:sz w:val="96"/>
          <w:szCs w:val="96"/>
        </w:rPr>
        <w:t>招 标 文 件</w:t>
      </w:r>
    </w:p>
    <w:p w14:paraId="237EBDE8">
      <w:pPr>
        <w:topLinePunct/>
        <w:autoSpaceDE w:val="0"/>
        <w:autoSpaceDN w:val="0"/>
        <w:spacing w:line="60" w:lineRule="exact"/>
        <w:jc w:val="center"/>
        <w:rPr>
          <w:rFonts w:hint="eastAsia" w:ascii="宋体" w:hAnsi="宋体" w:eastAsia="宋体" w:cs="宋体"/>
          <w:bCs/>
          <w:sz w:val="32"/>
          <w:szCs w:val="32"/>
        </w:rPr>
      </w:pPr>
    </w:p>
    <w:p w14:paraId="2D2D17AE">
      <w:pPr>
        <w:topLinePunct/>
        <w:autoSpaceDE w:val="0"/>
        <w:autoSpaceDN w:val="0"/>
        <w:snapToGrid w:val="0"/>
        <w:jc w:val="center"/>
        <w:rPr>
          <w:rFonts w:hint="eastAsia" w:ascii="宋体" w:hAnsi="宋体" w:eastAsia="宋体" w:cs="宋体"/>
          <w:bCs/>
          <w:sz w:val="40"/>
          <w:szCs w:val="40"/>
        </w:rPr>
      </w:pPr>
      <w:r>
        <w:rPr>
          <w:rFonts w:hint="eastAsia" w:ascii="宋体" w:hAnsi="宋体" w:eastAsia="宋体" w:cs="宋体"/>
          <w:bCs/>
          <w:sz w:val="40"/>
          <w:szCs w:val="40"/>
        </w:rPr>
        <w:t>（技术部分）</w:t>
      </w:r>
    </w:p>
    <w:p w14:paraId="1A12E67C">
      <w:pPr>
        <w:topLinePunct/>
        <w:autoSpaceDE w:val="0"/>
        <w:autoSpaceDN w:val="0"/>
        <w:snapToGrid w:val="0"/>
        <w:rPr>
          <w:rFonts w:hint="eastAsia" w:ascii="宋体" w:hAnsi="宋体" w:eastAsia="宋体" w:cs="宋体"/>
          <w:bCs/>
          <w:sz w:val="40"/>
          <w:szCs w:val="40"/>
        </w:rPr>
      </w:pPr>
    </w:p>
    <w:p w14:paraId="31DB2420">
      <w:pPr>
        <w:jc w:val="center"/>
        <w:rPr>
          <w:rFonts w:hint="eastAsia" w:ascii="宋体" w:hAnsi="宋体" w:eastAsia="宋体" w:cs="宋体"/>
          <w:sz w:val="24"/>
          <w:szCs w:val="24"/>
        </w:rPr>
      </w:pPr>
    </w:p>
    <w:p w14:paraId="1F4830EA">
      <w:pPr>
        <w:jc w:val="center"/>
        <w:rPr>
          <w:rFonts w:hint="eastAsia" w:ascii="宋体" w:hAnsi="宋体" w:eastAsia="宋体" w:cs="宋体"/>
          <w:sz w:val="24"/>
          <w:szCs w:val="24"/>
        </w:rPr>
      </w:pPr>
    </w:p>
    <w:p w14:paraId="49618464">
      <w:pPr>
        <w:spacing w:line="480" w:lineRule="exact"/>
        <w:jc w:val="center"/>
        <w:rPr>
          <w:rFonts w:hint="eastAsia" w:ascii="宋体" w:hAnsi="宋体" w:eastAsia="宋体" w:cs="宋体"/>
          <w:sz w:val="24"/>
          <w:szCs w:val="24"/>
        </w:rPr>
      </w:pPr>
    </w:p>
    <w:p w14:paraId="29F2A95A">
      <w:pPr>
        <w:spacing w:line="480" w:lineRule="exact"/>
        <w:jc w:val="center"/>
        <w:rPr>
          <w:rFonts w:hint="eastAsia" w:ascii="宋体" w:hAnsi="宋体" w:eastAsia="宋体" w:cs="宋体"/>
          <w:sz w:val="24"/>
          <w:szCs w:val="24"/>
        </w:rPr>
      </w:pPr>
    </w:p>
    <w:p w14:paraId="1DC504F4">
      <w:pPr>
        <w:spacing w:line="480" w:lineRule="exact"/>
        <w:jc w:val="center"/>
        <w:rPr>
          <w:rFonts w:hint="eastAsia" w:ascii="宋体" w:hAnsi="宋体" w:eastAsia="宋体" w:cs="宋体"/>
          <w:sz w:val="24"/>
          <w:szCs w:val="24"/>
        </w:rPr>
      </w:pPr>
    </w:p>
    <w:p w14:paraId="5B8F835A">
      <w:pPr>
        <w:spacing w:line="480" w:lineRule="exact"/>
        <w:jc w:val="center"/>
        <w:rPr>
          <w:rFonts w:hint="eastAsia" w:ascii="宋体" w:hAnsi="宋体" w:eastAsia="宋体" w:cs="宋体"/>
          <w:sz w:val="24"/>
          <w:szCs w:val="24"/>
        </w:rPr>
      </w:pPr>
    </w:p>
    <w:p w14:paraId="51EF4CD9">
      <w:pPr>
        <w:spacing w:line="480" w:lineRule="exact"/>
        <w:jc w:val="center"/>
        <w:rPr>
          <w:rFonts w:hint="eastAsia" w:ascii="宋体" w:hAnsi="宋体" w:eastAsia="宋体" w:cs="宋体"/>
          <w:sz w:val="32"/>
          <w:szCs w:val="32"/>
          <w:u w:val="single"/>
        </w:rPr>
      </w:pPr>
      <w:r>
        <w:rPr>
          <w:rFonts w:hint="eastAsia" w:ascii="宋体" w:hAnsi="宋体" w:eastAsia="宋体" w:cs="宋体"/>
          <w:sz w:val="32"/>
          <w:szCs w:val="32"/>
        </w:rPr>
        <w:t>项目名称：</w:t>
      </w:r>
      <w:r>
        <w:rPr>
          <w:rFonts w:hint="eastAsia" w:ascii="宋体" w:hAnsi="宋体" w:eastAsia="宋体" w:cs="宋体"/>
          <w:sz w:val="32"/>
          <w:szCs w:val="32"/>
          <w:u w:val="single"/>
        </w:rPr>
        <w:t>国家税务总局南平市税务局2025年食材服务</w:t>
      </w:r>
    </w:p>
    <w:p w14:paraId="59263F81">
      <w:pPr>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采购项目</w:t>
      </w:r>
      <w:r>
        <w:rPr>
          <w:rFonts w:hint="eastAsia" w:ascii="宋体" w:hAnsi="宋体" w:eastAsia="宋体" w:cs="宋体"/>
          <w:sz w:val="32"/>
          <w:szCs w:val="32"/>
          <w:highlight w:val="none"/>
        </w:rPr>
        <w:t xml:space="preserve"> </w:t>
      </w:r>
    </w:p>
    <w:p w14:paraId="0D776B67">
      <w:pPr>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项目编号：</w:t>
      </w:r>
      <w:r>
        <w:rPr>
          <w:rFonts w:hint="eastAsia" w:ascii="宋体" w:hAnsi="宋体" w:eastAsia="宋体" w:cs="宋体"/>
          <w:sz w:val="32"/>
          <w:szCs w:val="32"/>
          <w:highlight w:val="none"/>
          <w:u w:val="single"/>
        </w:rPr>
        <w:t>FJ2025-ZXGK-C0038-B03</w:t>
      </w:r>
    </w:p>
    <w:p w14:paraId="72505F85">
      <w:pPr>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采 购 人：</w:t>
      </w:r>
      <w:r>
        <w:rPr>
          <w:rFonts w:hint="eastAsia" w:ascii="宋体" w:hAnsi="宋体" w:eastAsia="宋体" w:cs="宋体"/>
          <w:sz w:val="32"/>
          <w:szCs w:val="32"/>
          <w:highlight w:val="none"/>
          <w:u w:val="single"/>
        </w:rPr>
        <w:t>国家税务总局南平市税务局</w:t>
      </w:r>
    </w:p>
    <w:p w14:paraId="3D653571">
      <w:pPr>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采购代理机构：</w:t>
      </w:r>
      <w:r>
        <w:rPr>
          <w:rFonts w:hint="eastAsia" w:ascii="宋体" w:hAnsi="宋体" w:eastAsia="宋体" w:cs="宋体"/>
          <w:sz w:val="32"/>
          <w:szCs w:val="32"/>
          <w:highlight w:val="none"/>
          <w:u w:val="single"/>
        </w:rPr>
        <w:t>福建省中亿通招标咨询有限公司</w:t>
      </w:r>
    </w:p>
    <w:p w14:paraId="0FD5231D">
      <w:pPr>
        <w:topLinePunct/>
        <w:autoSpaceDE w:val="0"/>
        <w:autoSpaceDN w:val="0"/>
        <w:spacing w:line="480" w:lineRule="exact"/>
        <w:rPr>
          <w:rFonts w:hint="eastAsia" w:ascii="宋体" w:hAnsi="宋体" w:eastAsia="宋体" w:cs="宋体"/>
          <w:sz w:val="32"/>
          <w:szCs w:val="32"/>
          <w:highlight w:val="none"/>
        </w:rPr>
      </w:pPr>
    </w:p>
    <w:p w14:paraId="7960BF86">
      <w:pPr>
        <w:topLinePunct/>
        <w:autoSpaceDE w:val="0"/>
        <w:autoSpaceDN w:val="0"/>
        <w:spacing w:line="480" w:lineRule="exact"/>
        <w:jc w:val="center"/>
        <w:rPr>
          <w:rFonts w:hint="eastAsia" w:ascii="宋体" w:hAnsi="宋体" w:eastAsia="宋体" w:cs="宋体"/>
          <w:sz w:val="32"/>
          <w:szCs w:val="32"/>
          <w:highlight w:val="none"/>
        </w:rPr>
      </w:pPr>
    </w:p>
    <w:p w14:paraId="01AA837A">
      <w:pPr>
        <w:topLinePunct/>
        <w:autoSpaceDE w:val="0"/>
        <w:autoSpaceDN w:val="0"/>
        <w:spacing w:line="480" w:lineRule="exact"/>
        <w:jc w:val="center"/>
        <w:rPr>
          <w:rFonts w:hint="eastAsia" w:ascii="宋体" w:hAnsi="宋体" w:eastAsia="宋体" w:cs="宋体"/>
          <w:sz w:val="32"/>
          <w:szCs w:val="32"/>
          <w:highlight w:val="none"/>
        </w:rPr>
      </w:pPr>
    </w:p>
    <w:p w14:paraId="00BCD58C">
      <w:pPr>
        <w:topLinePunct/>
        <w:autoSpaceDE w:val="0"/>
        <w:autoSpaceDN w:val="0"/>
        <w:spacing w:line="480" w:lineRule="exact"/>
        <w:jc w:val="center"/>
        <w:rPr>
          <w:rFonts w:hint="eastAsia" w:ascii="宋体" w:hAnsi="宋体" w:eastAsia="宋体" w:cs="宋体"/>
          <w:sz w:val="32"/>
          <w:szCs w:val="32"/>
          <w:highlight w:val="none"/>
        </w:rPr>
      </w:pPr>
    </w:p>
    <w:p w14:paraId="6AF0A603">
      <w:pPr>
        <w:topLinePunct/>
        <w:autoSpaceDE w:val="0"/>
        <w:autoSpaceDN w:val="0"/>
        <w:spacing w:line="480" w:lineRule="exact"/>
        <w:jc w:val="center"/>
        <w:rPr>
          <w:rFonts w:hint="eastAsia" w:ascii="宋体" w:hAnsi="宋体" w:eastAsia="宋体" w:cs="宋体"/>
          <w:sz w:val="32"/>
          <w:szCs w:val="32"/>
          <w:highlight w:val="none"/>
        </w:rPr>
      </w:pPr>
    </w:p>
    <w:p w14:paraId="469DA7B2">
      <w:pPr>
        <w:topLinePunct/>
        <w:autoSpaceDE w:val="0"/>
        <w:autoSpaceDN w:val="0"/>
        <w:spacing w:line="480" w:lineRule="exact"/>
        <w:jc w:val="center"/>
        <w:rPr>
          <w:rFonts w:hint="eastAsia" w:ascii="宋体" w:hAnsi="宋体" w:eastAsia="宋体" w:cs="宋体"/>
          <w:sz w:val="32"/>
          <w:szCs w:val="32"/>
          <w:highlight w:val="none"/>
        </w:rPr>
      </w:pPr>
    </w:p>
    <w:p w14:paraId="7A2BD3F0">
      <w:pPr>
        <w:topLinePunct/>
        <w:autoSpaceDE w:val="0"/>
        <w:autoSpaceDN w:val="0"/>
        <w:spacing w:line="480" w:lineRule="exact"/>
        <w:jc w:val="center"/>
        <w:rPr>
          <w:rFonts w:hint="eastAsia" w:ascii="宋体" w:hAnsi="宋体" w:eastAsia="宋体" w:cs="宋体"/>
          <w:sz w:val="32"/>
          <w:szCs w:val="32"/>
          <w:highlight w:val="none"/>
        </w:rPr>
      </w:pPr>
    </w:p>
    <w:p w14:paraId="1912D0A1">
      <w:pPr>
        <w:topLinePunct/>
        <w:autoSpaceDE w:val="0"/>
        <w:autoSpaceDN w:val="0"/>
        <w:spacing w:line="480" w:lineRule="exact"/>
        <w:jc w:val="center"/>
        <w:rPr>
          <w:rFonts w:hint="eastAsia" w:ascii="宋体" w:hAnsi="宋体" w:eastAsia="宋体" w:cs="宋体"/>
          <w:sz w:val="32"/>
          <w:szCs w:val="32"/>
          <w:highlight w:val="none"/>
        </w:rPr>
      </w:pPr>
    </w:p>
    <w:p w14:paraId="54BD75A9">
      <w:pPr>
        <w:topLinePunct/>
        <w:autoSpaceDE w:val="0"/>
        <w:autoSpaceDN w:val="0"/>
        <w:spacing w:line="480" w:lineRule="exact"/>
        <w:jc w:val="center"/>
        <w:rPr>
          <w:rFonts w:hint="eastAsia" w:ascii="宋体" w:hAnsi="宋体" w:eastAsia="宋体" w:cs="宋体"/>
          <w:sz w:val="32"/>
          <w:szCs w:val="32"/>
          <w:highlight w:val="none"/>
        </w:rPr>
      </w:pPr>
    </w:p>
    <w:p w14:paraId="1BB1D583">
      <w:pPr>
        <w:topLinePunct/>
        <w:autoSpaceDE w:val="0"/>
        <w:autoSpaceDN w:val="0"/>
        <w:spacing w:line="480" w:lineRule="exact"/>
        <w:jc w:val="center"/>
        <w:rPr>
          <w:rFonts w:hint="eastAsia" w:ascii="宋体" w:hAnsi="宋体" w:eastAsia="宋体" w:cs="宋体"/>
          <w:sz w:val="32"/>
          <w:szCs w:val="32"/>
          <w:highlight w:val="none"/>
        </w:rPr>
      </w:pPr>
    </w:p>
    <w:p w14:paraId="214E2B8F">
      <w:pPr>
        <w:topLinePunct/>
        <w:autoSpaceDE w:val="0"/>
        <w:autoSpaceDN w:val="0"/>
        <w:spacing w:line="4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国家税务总局南平市税务局</w:t>
      </w:r>
    </w:p>
    <w:p w14:paraId="063E73C0">
      <w:pPr>
        <w:topLinePunct/>
        <w:autoSpaceDE w:val="0"/>
        <w:autoSpaceDN w:val="0"/>
        <w:spacing w:line="480" w:lineRule="exact"/>
        <w:jc w:val="center"/>
        <w:rPr>
          <w:rFonts w:hint="eastAsia" w:ascii="宋体" w:hAnsi="宋体" w:eastAsia="宋体" w:cs="宋体"/>
          <w:sz w:val="24"/>
          <w:szCs w:val="24"/>
          <w:highlight w:val="none"/>
        </w:rPr>
      </w:pPr>
      <w:r>
        <w:rPr>
          <w:rFonts w:hint="eastAsia" w:ascii="宋体" w:hAnsi="宋体" w:eastAsia="宋体" w:cs="宋体"/>
          <w:sz w:val="32"/>
          <w:szCs w:val="32"/>
          <w:highlight w:val="none"/>
        </w:rPr>
        <w:t>2025年</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29</w:t>
      </w:r>
      <w:r>
        <w:rPr>
          <w:rFonts w:hint="eastAsia" w:ascii="宋体" w:hAnsi="宋体" w:eastAsia="宋体" w:cs="宋体"/>
          <w:sz w:val="32"/>
          <w:szCs w:val="32"/>
          <w:highlight w:val="none"/>
        </w:rPr>
        <w:t>日</w:t>
      </w:r>
    </w:p>
    <w:p w14:paraId="6A9C6970">
      <w:pPr>
        <w:widowControl/>
        <w:jc w:val="center"/>
        <w:outlineLvl w:val="0"/>
        <w:rPr>
          <w:rFonts w:hint="eastAsia" w:ascii="宋体" w:hAnsi="宋体" w:eastAsia="宋体" w:cs="宋体"/>
          <w:b/>
          <w:bCs/>
          <w:sz w:val="28"/>
          <w:szCs w:val="28"/>
        </w:rPr>
      </w:pPr>
      <w:r>
        <w:rPr>
          <w:rFonts w:hint="eastAsia" w:ascii="宋体" w:hAnsi="宋体" w:eastAsia="宋体" w:cs="宋体"/>
          <w:sz w:val="24"/>
          <w:szCs w:val="24"/>
        </w:rPr>
        <w:br w:type="page"/>
      </w:r>
      <w:bookmarkStart w:id="53" w:name="_Toc20388"/>
      <w:r>
        <w:rPr>
          <w:rFonts w:hint="eastAsia" w:ascii="宋体" w:hAnsi="宋体" w:eastAsia="宋体" w:cs="宋体"/>
          <w:b/>
          <w:bCs/>
          <w:sz w:val="28"/>
          <w:szCs w:val="28"/>
        </w:rPr>
        <w:t>第六章  项目采购需求</w:t>
      </w:r>
      <w:bookmarkEnd w:id="53"/>
    </w:p>
    <w:p w14:paraId="066A4DF3">
      <w:pPr>
        <w:spacing w:line="360" w:lineRule="auto"/>
        <w:ind w:firstLine="420" w:firstLineChars="200"/>
        <w:outlineLvl w:val="1"/>
        <w:rPr>
          <w:rFonts w:hint="eastAsia" w:ascii="宋体" w:hAnsi="宋体" w:eastAsia="宋体" w:cs="宋体"/>
          <w:b/>
          <w:bCs/>
        </w:rPr>
      </w:pPr>
      <w:bookmarkStart w:id="54" w:name="_Toc129529569"/>
      <w:bookmarkStart w:id="55" w:name="_Toc5663"/>
      <w:r>
        <w:rPr>
          <w:rFonts w:hint="eastAsia"/>
        </w:rPr>
        <w:t>★</w:t>
      </w:r>
      <w:r>
        <w:rPr>
          <w:rFonts w:hint="eastAsia" w:ascii="宋体" w:hAnsi="宋体" w:eastAsia="宋体" w:cs="宋体"/>
          <w:b/>
          <w:bCs/>
        </w:rPr>
        <w:t>注:本章内容为不允许负偏离的实质性要求。</w:t>
      </w:r>
    </w:p>
    <w:p w14:paraId="4B679FC7">
      <w:pPr>
        <w:spacing w:line="460" w:lineRule="exact"/>
        <w:ind w:firstLine="422" w:firstLineChars="200"/>
        <w:outlineLvl w:val="1"/>
        <w:rPr>
          <w:rFonts w:hint="eastAsia" w:ascii="宋体" w:hAnsi="宋体" w:eastAsia="宋体" w:cs="宋体"/>
          <w:b/>
          <w:bCs/>
        </w:rPr>
      </w:pPr>
      <w:r>
        <w:rPr>
          <w:rFonts w:hint="eastAsia" w:ascii="宋体" w:hAnsi="宋体" w:eastAsia="宋体" w:cs="宋体"/>
          <w:b/>
          <w:bCs/>
        </w:rPr>
        <w:t>一、项目概况</w:t>
      </w:r>
      <w:bookmarkEnd w:id="54"/>
      <w:bookmarkEnd w:id="55"/>
    </w:p>
    <w:p w14:paraId="68FAB1DA">
      <w:pPr>
        <w:pStyle w:val="60"/>
        <w:spacing w:line="460" w:lineRule="exact"/>
        <w:rPr>
          <w:rFonts w:hint="eastAsia" w:ascii="宋体" w:hAnsi="宋体" w:cs="宋体"/>
          <w:szCs w:val="21"/>
        </w:rPr>
      </w:pPr>
      <w:bookmarkStart w:id="56" w:name="_Toc129529570"/>
      <w:bookmarkStart w:id="57" w:name="_Toc10605"/>
      <w:r>
        <w:rPr>
          <w:rFonts w:hint="eastAsia" w:ascii="宋体" w:hAnsi="宋体" w:cs="宋体"/>
          <w:szCs w:val="21"/>
        </w:rPr>
        <w:t>（一）项目背景</w:t>
      </w:r>
    </w:p>
    <w:p w14:paraId="79455893">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本项目为国家税务总局南平市税务局2025年食堂食材配送服务采购项目。为加强食堂管理，提升食堂食材质量，更好地为干部职工服务。拟通过公开招标方式对南平市税务局机关食堂（含在潭派出机构，下同）、南平市税务局第三稽查局（邵武，配送金额约占采购总金额的12%）食堂食材配送服务进行采购，所采购服务商必须保障采购人食堂用餐食材需求，配送范围：大米、面粉、食用油、各类蔬菜、新鲜肉类、冷冻食品、新鲜家禽、禽蛋、豆制品、水产品、调味品、副食品、水果、乳制品、各类辅料等。配送地址：南平市税务局机关食堂（南平市建阳区朱熹大道379号武夷国际新城、仁安巷8号办公点，服务期内若采购人办公地点变更则配送至南平市武夷新区建阳街17号）；南平市税务局第三稽查局食堂（邵武市福寿中路68号）。</w:t>
      </w:r>
    </w:p>
    <w:p w14:paraId="701F5A02">
      <w:pPr>
        <w:pStyle w:val="60"/>
        <w:spacing w:line="460" w:lineRule="exact"/>
        <w:rPr>
          <w:rFonts w:hint="eastAsia" w:ascii="宋体" w:hAnsi="宋体" w:cs="宋体"/>
          <w:szCs w:val="21"/>
        </w:rPr>
      </w:pPr>
      <w:r>
        <w:rPr>
          <w:rFonts w:hint="eastAsia" w:ascii="宋体" w:hAnsi="宋体" w:cs="宋体"/>
          <w:szCs w:val="21"/>
        </w:rPr>
        <w:t>（二）采购内容</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28"/>
        <w:gridCol w:w="4011"/>
        <w:gridCol w:w="1189"/>
        <w:gridCol w:w="989"/>
      </w:tblGrid>
      <w:tr w14:paraId="1932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71" w:type="pct"/>
            <w:tcBorders>
              <w:top w:val="single" w:color="auto" w:sz="4" w:space="0"/>
              <w:left w:val="single" w:color="auto" w:sz="4" w:space="0"/>
              <w:bottom w:val="single" w:color="auto" w:sz="4" w:space="0"/>
              <w:right w:val="single" w:color="auto" w:sz="4" w:space="0"/>
            </w:tcBorders>
            <w:vAlign w:val="center"/>
          </w:tcPr>
          <w:p w14:paraId="1BBF4C22">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合同包</w:t>
            </w:r>
          </w:p>
        </w:tc>
        <w:tc>
          <w:tcPr>
            <w:tcW w:w="897" w:type="pct"/>
            <w:tcBorders>
              <w:top w:val="single" w:color="auto" w:sz="4" w:space="0"/>
              <w:left w:val="single" w:color="auto" w:sz="4" w:space="0"/>
              <w:bottom w:val="single" w:color="auto" w:sz="4" w:space="0"/>
              <w:right w:val="single" w:color="auto" w:sz="4" w:space="0"/>
            </w:tcBorders>
            <w:vAlign w:val="center"/>
          </w:tcPr>
          <w:p w14:paraId="232591B0">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项目名称</w:t>
            </w:r>
          </w:p>
        </w:tc>
        <w:tc>
          <w:tcPr>
            <w:tcW w:w="2354" w:type="pct"/>
            <w:tcBorders>
              <w:top w:val="single" w:color="auto" w:sz="4" w:space="0"/>
              <w:left w:val="single" w:color="auto" w:sz="4" w:space="0"/>
              <w:bottom w:val="single" w:color="auto" w:sz="4" w:space="0"/>
              <w:right w:val="single" w:color="auto" w:sz="4" w:space="0"/>
            </w:tcBorders>
            <w:vAlign w:val="center"/>
          </w:tcPr>
          <w:p w14:paraId="4551C1D5">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采购内容及要求</w:t>
            </w:r>
          </w:p>
        </w:tc>
        <w:tc>
          <w:tcPr>
            <w:tcW w:w="698" w:type="pct"/>
            <w:tcBorders>
              <w:top w:val="single" w:color="auto" w:sz="4" w:space="0"/>
              <w:left w:val="single" w:color="auto" w:sz="4" w:space="0"/>
              <w:bottom w:val="single" w:color="auto" w:sz="4" w:space="0"/>
              <w:right w:val="single" w:color="auto" w:sz="4" w:space="0"/>
            </w:tcBorders>
            <w:vAlign w:val="center"/>
          </w:tcPr>
          <w:p w14:paraId="5837A1B7">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最高限价（万元）</w:t>
            </w:r>
          </w:p>
        </w:tc>
        <w:tc>
          <w:tcPr>
            <w:tcW w:w="576" w:type="pct"/>
            <w:tcBorders>
              <w:top w:val="single" w:color="auto" w:sz="4" w:space="0"/>
              <w:left w:val="single" w:color="auto" w:sz="4" w:space="0"/>
              <w:bottom w:val="single" w:color="auto" w:sz="4" w:space="0"/>
              <w:right w:val="single" w:color="auto" w:sz="4" w:space="0"/>
            </w:tcBorders>
            <w:vAlign w:val="center"/>
          </w:tcPr>
          <w:p w14:paraId="67ED0FA8">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合同履行期</w:t>
            </w:r>
          </w:p>
        </w:tc>
      </w:tr>
      <w:tr w14:paraId="7FB4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71" w:type="pct"/>
            <w:tcBorders>
              <w:top w:val="single" w:color="auto" w:sz="4" w:space="0"/>
              <w:left w:val="single" w:color="auto" w:sz="4" w:space="0"/>
              <w:bottom w:val="single" w:color="auto" w:sz="4" w:space="0"/>
              <w:right w:val="single" w:color="auto" w:sz="4" w:space="0"/>
            </w:tcBorders>
            <w:vAlign w:val="center"/>
          </w:tcPr>
          <w:p w14:paraId="4C5C7695">
            <w:pPr>
              <w:pStyle w:val="17"/>
              <w:adjustRightInd w:val="0"/>
              <w:spacing w:before="127" w:line="460" w:lineRule="exact"/>
              <w:jc w:val="center"/>
              <w:rPr>
                <w:rFonts w:hint="eastAsia" w:ascii="宋体" w:hAnsi="宋体" w:cs="宋体"/>
                <w:snapToGrid w:val="0"/>
                <w:szCs w:val="21"/>
              </w:rPr>
            </w:pPr>
            <w:r>
              <w:rPr>
                <w:rFonts w:hint="eastAsia" w:ascii="宋体" w:hAnsi="宋体" w:cs="宋体"/>
                <w:szCs w:val="21"/>
              </w:rPr>
              <w:t>1</w:t>
            </w:r>
          </w:p>
        </w:tc>
        <w:tc>
          <w:tcPr>
            <w:tcW w:w="897" w:type="pct"/>
            <w:tcBorders>
              <w:top w:val="single" w:color="auto" w:sz="4" w:space="0"/>
              <w:left w:val="single" w:color="auto" w:sz="4" w:space="0"/>
              <w:bottom w:val="single" w:color="auto" w:sz="4" w:space="0"/>
              <w:right w:val="single" w:color="auto" w:sz="4" w:space="0"/>
            </w:tcBorders>
            <w:vAlign w:val="center"/>
          </w:tcPr>
          <w:p w14:paraId="498F7513">
            <w:pPr>
              <w:pStyle w:val="17"/>
              <w:adjustRightInd w:val="0"/>
              <w:spacing w:before="127" w:line="460" w:lineRule="exact"/>
              <w:jc w:val="center"/>
              <w:rPr>
                <w:rFonts w:hint="eastAsia" w:ascii="宋体" w:hAnsi="宋体" w:cs="宋体"/>
                <w:snapToGrid w:val="0"/>
                <w:szCs w:val="21"/>
              </w:rPr>
            </w:pPr>
            <w:r>
              <w:rPr>
                <w:rFonts w:hint="eastAsia" w:ascii="宋体" w:hAnsi="宋体" w:cs="宋体"/>
                <w:szCs w:val="21"/>
              </w:rPr>
              <w:t>国家税务总局南平市税务局2025年食堂食材配送服务项目</w:t>
            </w:r>
          </w:p>
        </w:tc>
        <w:tc>
          <w:tcPr>
            <w:tcW w:w="2354" w:type="pct"/>
            <w:tcBorders>
              <w:top w:val="single" w:color="auto" w:sz="4" w:space="0"/>
              <w:left w:val="single" w:color="auto" w:sz="4" w:space="0"/>
              <w:bottom w:val="single" w:color="auto" w:sz="4" w:space="0"/>
              <w:right w:val="single" w:color="auto" w:sz="4" w:space="0"/>
            </w:tcBorders>
            <w:vAlign w:val="center"/>
          </w:tcPr>
          <w:p w14:paraId="37F5968D">
            <w:pPr>
              <w:pStyle w:val="17"/>
              <w:autoSpaceDE w:val="0"/>
              <w:autoSpaceDN w:val="0"/>
              <w:adjustRightInd w:val="0"/>
              <w:spacing w:before="127" w:line="460" w:lineRule="exact"/>
              <w:jc w:val="left"/>
              <w:rPr>
                <w:rFonts w:hint="eastAsia" w:ascii="宋体" w:hAnsi="宋体" w:cs="宋体"/>
                <w:szCs w:val="21"/>
              </w:rPr>
            </w:pPr>
            <w:r>
              <w:rPr>
                <w:rFonts w:hint="eastAsia" w:ascii="宋体" w:hAnsi="宋体" w:cs="宋体"/>
                <w:szCs w:val="21"/>
              </w:rPr>
              <w:t>所采购服务商须保障采购人食材用餐需求，配送范围：大米、面粉、食用油、各类蔬菜、新鲜肉类、冷冻食品、新鲜家禽、禽蛋、豆制品、水产品、调味品、副食品、水果、乳制品、各类辅料等。 </w:t>
            </w:r>
          </w:p>
        </w:tc>
        <w:tc>
          <w:tcPr>
            <w:tcW w:w="698" w:type="pct"/>
            <w:tcBorders>
              <w:top w:val="single" w:color="auto" w:sz="4" w:space="0"/>
              <w:left w:val="single" w:color="auto" w:sz="4" w:space="0"/>
              <w:bottom w:val="single" w:color="auto" w:sz="4" w:space="0"/>
              <w:right w:val="single" w:color="auto" w:sz="4" w:space="0"/>
            </w:tcBorders>
            <w:vAlign w:val="center"/>
          </w:tcPr>
          <w:p w14:paraId="38848C08">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238</w:t>
            </w:r>
          </w:p>
        </w:tc>
        <w:tc>
          <w:tcPr>
            <w:tcW w:w="576" w:type="pct"/>
            <w:tcBorders>
              <w:top w:val="single" w:color="auto" w:sz="4" w:space="0"/>
              <w:left w:val="single" w:color="auto" w:sz="4" w:space="0"/>
              <w:bottom w:val="single" w:color="auto" w:sz="4" w:space="0"/>
              <w:right w:val="single" w:color="auto" w:sz="4" w:space="0"/>
            </w:tcBorders>
            <w:vAlign w:val="center"/>
          </w:tcPr>
          <w:p w14:paraId="33EEE8F3">
            <w:pPr>
              <w:tabs>
                <w:tab w:val="left" w:pos="6930"/>
              </w:tabs>
              <w:spacing w:line="500" w:lineRule="exact"/>
              <w:ind w:right="62"/>
              <w:jc w:val="center"/>
              <w:rPr>
                <w:rFonts w:hint="eastAsia" w:ascii="宋体" w:hAnsi="宋体" w:eastAsia="宋体" w:cs="宋体"/>
                <w:szCs w:val="21"/>
              </w:rPr>
            </w:pPr>
            <w:r>
              <w:rPr>
                <w:rFonts w:hint="eastAsia" w:ascii="宋体" w:hAnsi="宋体" w:eastAsia="宋体" w:cs="宋体"/>
                <w:szCs w:val="21"/>
              </w:rPr>
              <w:t>服务期为合同生效之日起12个月</w:t>
            </w:r>
          </w:p>
        </w:tc>
      </w:tr>
      <w:tr w14:paraId="6496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791C1B9">
            <w:pPr>
              <w:tabs>
                <w:tab w:val="left" w:pos="6930"/>
              </w:tabs>
              <w:spacing w:line="500" w:lineRule="exact"/>
              <w:ind w:right="62"/>
              <w:rPr>
                <w:rFonts w:hint="eastAsia" w:ascii="宋体" w:hAnsi="宋体" w:eastAsia="宋体" w:cs="宋体"/>
                <w:szCs w:val="21"/>
              </w:rPr>
            </w:pPr>
            <w:r>
              <w:rPr>
                <w:rFonts w:hint="eastAsia" w:ascii="宋体" w:hAnsi="宋体" w:eastAsia="宋体" w:cs="宋体"/>
                <w:szCs w:val="21"/>
              </w:rPr>
              <w:t>注：①投标人不得仅对合同包中的部分内容进行投标，否则视为未实质性响应招标文件要求，按无效投标处理。②本项目不允许中标人以任何名义和理由进行转包及分包，如有发现，采购人有权解除合同，且中标人必须赔偿由此给采购人带来的一切损失。</w:t>
            </w:r>
          </w:p>
        </w:tc>
      </w:tr>
    </w:tbl>
    <w:p w14:paraId="3FFE9066">
      <w:pPr>
        <w:spacing w:line="440" w:lineRule="atLeast"/>
        <w:ind w:firstLine="420" w:firstLineChars="200"/>
        <w:outlineLvl w:val="1"/>
        <w:rPr>
          <w:rFonts w:hint="eastAsia" w:ascii="宋体" w:hAnsi="宋体" w:eastAsia="宋体" w:cs="宋体"/>
          <w:szCs w:val="21"/>
        </w:rPr>
      </w:pPr>
      <w:r>
        <w:rPr>
          <w:rFonts w:hint="eastAsia" w:ascii="宋体" w:hAnsi="宋体" w:eastAsia="宋体" w:cs="宋体"/>
          <w:szCs w:val="21"/>
        </w:rPr>
        <w:t>本次采购用量只是根据往年使用量测算的预估用量，不作为本次报价依据，仅供投标人参考，实际采购用量有可能低于此预估数，参与投标的供应商要充分评估并承担采购量低于预估量的风险。</w:t>
      </w:r>
    </w:p>
    <w:p w14:paraId="7DE3DE71">
      <w:pPr>
        <w:spacing w:line="440" w:lineRule="atLeast"/>
        <w:ind w:firstLine="420" w:firstLineChars="200"/>
        <w:outlineLvl w:val="1"/>
        <w:rPr>
          <w:rFonts w:hint="eastAsia" w:ascii="宋体" w:hAnsi="宋体" w:eastAsia="宋体" w:cs="宋体"/>
          <w:szCs w:val="21"/>
        </w:rPr>
      </w:pPr>
      <w:r>
        <w:rPr>
          <w:rFonts w:hint="eastAsia" w:ascii="宋体" w:hAnsi="宋体" w:eastAsia="宋体" w:cs="宋体"/>
          <w:szCs w:val="21"/>
        </w:rPr>
        <w:t>（三）报价要求</w:t>
      </w:r>
    </w:p>
    <w:p w14:paraId="44D35313">
      <w:pPr>
        <w:spacing w:line="500" w:lineRule="exact"/>
        <w:ind w:firstLine="420" w:firstLineChars="200"/>
        <w:outlineLvl w:val="1"/>
        <w:rPr>
          <w:rFonts w:hint="eastAsia" w:ascii="宋体" w:hAnsi="宋体" w:eastAsia="宋体" w:cs="宋体"/>
          <w:szCs w:val="21"/>
        </w:rPr>
      </w:pPr>
      <w:r>
        <w:rPr>
          <w:rFonts w:hint="eastAsia" w:ascii="宋体" w:hAnsi="宋体" w:eastAsia="宋体" w:cs="宋体"/>
          <w:szCs w:val="21"/>
        </w:rPr>
        <w:t>1、投标人应按招标文件规定的供货及服务要求、责任范围和合同条件以结算系数进行报价（如打8.5折，即投标结算系数为0.85），供货价格以各有效投标人报价相较于同一时期的南平市政府官方农产品市场报价的优惠程度确定。具体是</w:t>
      </w:r>
      <w:r>
        <w:fldChar w:fldCharType="begin"/>
      </w:r>
      <w:r>
        <w:instrText xml:space="preserve"> HYPERLINK "http://cddrc.chengdu.gov.cn/" \h </w:instrText>
      </w:r>
      <w:r>
        <w:fldChar w:fldCharType="separate"/>
      </w:r>
      <w:r>
        <w:rPr>
          <w:rFonts w:hint="eastAsia" w:ascii="宋体" w:hAnsi="宋体" w:eastAsia="宋体" w:cs="宋体"/>
          <w:szCs w:val="21"/>
        </w:rPr>
        <w:t>根据“南平市发改委网http://fgw.np.gov.cn/”网上公布的价格为当期市场基准价为取数来源</w:t>
      </w:r>
      <w:r>
        <w:rPr>
          <w:rFonts w:hint="eastAsia" w:ascii="宋体" w:hAnsi="宋体" w:eastAsia="宋体" w:cs="宋体"/>
          <w:szCs w:val="21"/>
        </w:rPr>
        <w:fldChar w:fldCharType="end"/>
      </w:r>
      <w:r>
        <w:rPr>
          <w:rFonts w:hint="eastAsia" w:ascii="宋体" w:hAnsi="宋体" w:eastAsia="宋体" w:cs="宋体"/>
          <w:szCs w:val="21"/>
        </w:rPr>
        <w:t>。以此方式确定的基准价，如因上述网站信息发布的时效等因素导致该基准价明显高于供货当日实际市场价，采购人有权与供应商协商对基准价进行合适的下调。若出现上述两网站都没有列出报价的农产品品目，则由采购人任意选取一家大型超市门店与中标人一起现场采集所需农产品品目价格作为该品目基准价。投标人以此为基准价提出其供货结算系数，按结算系数高低确定价格得分，本次采购不接受高于基准价的报价。采购人会实时进行抽查核对，如发现所供食品的价格资料造假，采购人有权立即解除本合同。结算价=基准价×中标结算系数。</w:t>
      </w:r>
    </w:p>
    <w:p w14:paraId="78285D01">
      <w:pPr>
        <w:numPr>
          <w:ilvl w:val="255"/>
          <w:numId w:val="0"/>
        </w:numPr>
        <w:spacing w:line="440" w:lineRule="atLeast"/>
        <w:ind w:firstLine="420" w:firstLineChars="200"/>
        <w:outlineLvl w:val="1"/>
        <w:rPr>
          <w:rFonts w:hint="eastAsia" w:ascii="宋体" w:hAnsi="宋体" w:eastAsia="宋体" w:cs="宋体"/>
          <w:snapToGrid w:val="0"/>
          <w:szCs w:val="21"/>
        </w:rPr>
      </w:pPr>
      <w:r>
        <w:rPr>
          <w:rFonts w:hint="eastAsia" w:ascii="宋体" w:hAnsi="宋体" w:eastAsia="宋体" w:cs="宋体"/>
          <w:snapToGrid w:val="0"/>
          <w:szCs w:val="21"/>
        </w:rPr>
        <w:t>2、投标人投标报价应是完成本项目全部工作内容的价格体现，包括但不限于产品生产、运输、冷藏、搬运；人工费；从业人员的服装；工具费用；人身意外伤害费用；责任风险费用；加班工资、高温补贴等；过年、过节等福利费用；管理费；税收；安全费用以及国家规定的各项税费等一切费用。</w:t>
      </w:r>
    </w:p>
    <w:p w14:paraId="40923EC6">
      <w:pPr>
        <w:numPr>
          <w:ilvl w:val="255"/>
          <w:numId w:val="0"/>
        </w:numPr>
        <w:spacing w:line="440" w:lineRule="atLeast"/>
        <w:ind w:firstLine="422" w:firstLineChars="200"/>
        <w:outlineLvl w:val="1"/>
        <w:rPr>
          <w:rFonts w:hint="eastAsia" w:ascii="宋体" w:hAnsi="宋体" w:eastAsia="宋体" w:cs="宋体"/>
          <w:b/>
          <w:bCs/>
          <w:szCs w:val="21"/>
        </w:rPr>
      </w:pPr>
      <w:r>
        <w:rPr>
          <w:rFonts w:hint="eastAsia" w:ascii="宋体" w:hAnsi="宋体" w:eastAsia="宋体" w:cs="宋体"/>
          <w:b/>
          <w:bCs/>
          <w:szCs w:val="21"/>
        </w:rPr>
        <w:t>二、技术要求</w:t>
      </w:r>
      <w:bookmarkEnd w:id="56"/>
      <w:bookmarkEnd w:id="57"/>
    </w:p>
    <w:p w14:paraId="0028777A">
      <w:pPr>
        <w:pStyle w:val="60"/>
        <w:spacing w:line="440" w:lineRule="atLeast"/>
        <w:ind w:firstLine="422"/>
        <w:rPr>
          <w:rFonts w:hint="eastAsia" w:ascii="宋体" w:hAnsi="宋体" w:cs="宋体"/>
          <w:b/>
          <w:bCs/>
          <w:szCs w:val="21"/>
        </w:rPr>
      </w:pPr>
      <w:bookmarkStart w:id="58" w:name="_Toc13814"/>
      <w:bookmarkStart w:id="59" w:name="_Toc129529571"/>
      <w:r>
        <w:rPr>
          <w:rFonts w:hint="eastAsia" w:ascii="宋体" w:hAnsi="宋体" w:cs="宋体"/>
          <w:b/>
          <w:bCs/>
          <w:szCs w:val="21"/>
        </w:rPr>
        <w:t>（一）项目需求</w:t>
      </w:r>
    </w:p>
    <w:p w14:paraId="42313BA2">
      <w:pPr>
        <w:pStyle w:val="17"/>
        <w:adjustRightInd w:val="0"/>
        <w:spacing w:line="500" w:lineRule="exact"/>
        <w:ind w:firstLine="420" w:firstLineChars="200"/>
        <w:rPr>
          <w:rFonts w:hint="eastAsia" w:ascii="宋体" w:hAnsi="宋体" w:cs="宋体"/>
          <w:b w:val="0"/>
          <w:bCs/>
          <w:snapToGrid w:val="0"/>
          <w:szCs w:val="21"/>
        </w:rPr>
      </w:pPr>
      <w:r>
        <w:rPr>
          <w:rFonts w:hint="eastAsia" w:ascii="宋体" w:hAnsi="宋体" w:cs="宋体"/>
          <w:b w:val="0"/>
          <w:bCs/>
          <w:snapToGrid w:val="0"/>
          <w:szCs w:val="21"/>
        </w:rPr>
        <w:t>1、采购人如有特殊情况和临时补货,中标人在接到采购人供货通知后于30分钟内，按采购人通知的品种、数量、规格等需求送达。中标人负责食材的装卸和运输，所需费用由中标人承担。</w:t>
      </w:r>
    </w:p>
    <w:p w14:paraId="7583E0D9">
      <w:pPr>
        <w:pStyle w:val="17"/>
        <w:adjustRightInd w:val="0"/>
        <w:spacing w:line="500" w:lineRule="exact"/>
        <w:ind w:firstLine="420" w:firstLineChars="200"/>
        <w:rPr>
          <w:rFonts w:hint="eastAsia" w:ascii="宋体" w:hAnsi="宋体" w:cs="宋体"/>
          <w:b w:val="0"/>
          <w:bCs/>
          <w:snapToGrid w:val="0"/>
          <w:szCs w:val="21"/>
        </w:rPr>
      </w:pPr>
      <w:r>
        <w:rPr>
          <w:rFonts w:hint="eastAsia" w:ascii="宋体" w:hAnsi="宋体" w:cs="宋体"/>
          <w:b w:val="0"/>
          <w:bCs/>
          <w:snapToGrid w:val="0"/>
          <w:szCs w:val="21"/>
        </w:rPr>
        <w:t>2、如有特殊采购需求即中标人无法提供货物或提供的货物无法满足安全要求的或因价格因素不满足采购人要求的，中标人需向采购人提供书面证明材料，采购人有权自行采购，采购费用由采购人承担。对于非中标人主观原因导致无法提供的货物，中标人需向采购人提供书面证明材料。</w:t>
      </w:r>
    </w:p>
    <w:p w14:paraId="3FFCCB6D">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3、本项目服务期限为一年，中标人必须在订货及配送过程中与采购人保持密切配合。能根据采购人的单位人员下发的采购单内容进行采购配送，且保证所采购的产品质量完全合格。</w:t>
      </w:r>
    </w:p>
    <w:p w14:paraId="7AC36FEA">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4、中标人应每月15日向采购人提供所供应产品的质量检验证明、质量检验报告等。</w:t>
      </w:r>
    </w:p>
    <w:p w14:paraId="49D269A7">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5、肉制品必须附带本批次动物制品检验检疫合格证。蔬菜瓜果类必须附带本批次农药残留检测报告。</w:t>
      </w:r>
    </w:p>
    <w:p w14:paraId="3920E621">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6、对有质量问题、来路不明、腐烂变质、超出采购单要求重量部分、存在其他食品安全隐患的原材料，采购人有权拒绝收货、退货。</w:t>
      </w:r>
    </w:p>
    <w:p w14:paraId="52FB891D">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7、送货人需要进入库房、加工区时，需要遵守采购人的相关管理规定。</w:t>
      </w:r>
    </w:p>
    <w:p w14:paraId="4B5FBCF3">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8、送货人负责将所供应产品搬运到指定地点，摆放整齐。</w:t>
      </w:r>
    </w:p>
    <w:p w14:paraId="34895036">
      <w:pPr>
        <w:pStyle w:val="59"/>
        <w:widowControl w:val="0"/>
        <w:spacing w:afterLines="0" w:line="500" w:lineRule="exact"/>
        <w:rPr>
          <w:rFonts w:hint="eastAsia" w:ascii="宋体" w:hAnsi="宋体" w:cs="宋体"/>
          <w:snapToGrid w:val="0"/>
          <w:sz w:val="21"/>
          <w:szCs w:val="21"/>
        </w:rPr>
      </w:pPr>
      <w:r>
        <w:rPr>
          <w:rFonts w:hint="eastAsia" w:ascii="宋体" w:hAnsi="宋体" w:cs="宋体"/>
          <w:snapToGrid w:val="0"/>
          <w:sz w:val="21"/>
          <w:szCs w:val="21"/>
        </w:rPr>
        <w:t>9、有符合规定的专用经营场所，实际经营场所与注册地址一致。</w:t>
      </w:r>
    </w:p>
    <w:p w14:paraId="2AB26FB2">
      <w:pPr>
        <w:pStyle w:val="59"/>
        <w:spacing w:afterLines="0" w:line="440" w:lineRule="exact"/>
        <w:ind w:firstLine="422"/>
        <w:rPr>
          <w:rFonts w:hint="eastAsia" w:ascii="宋体" w:hAnsi="宋体" w:cs="宋体"/>
          <w:b/>
          <w:bCs/>
          <w:sz w:val="21"/>
          <w:szCs w:val="21"/>
        </w:rPr>
      </w:pPr>
      <w:r>
        <w:rPr>
          <w:rFonts w:hint="eastAsia" w:ascii="宋体" w:hAnsi="宋体" w:cs="宋体"/>
          <w:b/>
          <w:bCs/>
          <w:sz w:val="21"/>
          <w:szCs w:val="21"/>
        </w:rPr>
        <w:t>（二）服务内容</w:t>
      </w:r>
    </w:p>
    <w:p w14:paraId="484D9465">
      <w:pPr>
        <w:numPr>
          <w:ilvl w:val="255"/>
          <w:numId w:val="0"/>
        </w:numPr>
        <w:adjustRightInd w:val="0"/>
        <w:snapToGrid w:val="0"/>
        <w:spacing w:line="500" w:lineRule="exact"/>
        <w:ind w:firstLine="422" w:firstLineChars="200"/>
        <w:rPr>
          <w:rFonts w:hint="eastAsia" w:ascii="宋体" w:hAnsi="宋体" w:eastAsia="宋体" w:cs="宋体"/>
          <w:b/>
          <w:szCs w:val="21"/>
        </w:rPr>
      </w:pPr>
      <w:r>
        <w:rPr>
          <w:rFonts w:hint="eastAsia" w:ascii="宋体" w:hAnsi="宋体" w:eastAsia="宋体" w:cs="宋体"/>
          <w:b/>
          <w:szCs w:val="21"/>
        </w:rPr>
        <w:t>1、技术服务内容</w:t>
      </w:r>
    </w:p>
    <w:p w14:paraId="67DC9B2A">
      <w:pPr>
        <w:pStyle w:val="81"/>
        <w:adjustRightInd w:val="0"/>
        <w:spacing w:after="156" w:line="500" w:lineRule="exact"/>
        <w:ind w:firstLine="600" w:firstLineChars="0"/>
        <w:rPr>
          <w:rFonts w:hint="eastAsia" w:ascii="宋体" w:hAnsi="宋体" w:eastAsia="宋体" w:cs="宋体"/>
          <w:bCs/>
          <w:szCs w:val="21"/>
          <w:lang w:val="de-DE" w:eastAsia="de-DE"/>
        </w:rPr>
      </w:pPr>
      <w:r>
        <w:rPr>
          <w:rFonts w:hint="eastAsia" w:ascii="宋体" w:hAnsi="宋体" w:eastAsia="宋体" w:cs="宋体"/>
          <w:bCs/>
          <w:szCs w:val="21"/>
          <w:lang w:val="de-DE"/>
        </w:rPr>
        <w:t>（</w:t>
      </w:r>
      <w:r>
        <w:rPr>
          <w:rFonts w:hint="eastAsia" w:ascii="宋体" w:hAnsi="宋体" w:eastAsia="宋体" w:cs="宋体"/>
          <w:bCs/>
          <w:szCs w:val="21"/>
          <w:lang w:val="en-US"/>
        </w:rPr>
        <w:t>1</w:t>
      </w:r>
      <w:r>
        <w:rPr>
          <w:rFonts w:hint="eastAsia" w:ascii="宋体" w:hAnsi="宋体" w:eastAsia="宋体" w:cs="宋体"/>
          <w:bCs/>
          <w:szCs w:val="21"/>
          <w:lang w:val="de-DE"/>
        </w:rPr>
        <w:t>）</w:t>
      </w:r>
      <w:r>
        <w:rPr>
          <w:rFonts w:hint="eastAsia" w:ascii="宋体" w:hAnsi="宋体" w:eastAsia="宋体" w:cs="宋体"/>
          <w:bCs/>
          <w:szCs w:val="21"/>
          <w:lang w:val="de-DE" w:eastAsia="de-DE"/>
        </w:rPr>
        <w:t>粮油、调味品、冻品、干货类等食材配送：包括大米、面粉、禽蛋、食用油、调味品、豆制品、烘焙材料，各类海水产淡水产冻制品、水产干货、各类农产品干货等。</w:t>
      </w:r>
    </w:p>
    <w:p w14:paraId="39B832D1">
      <w:pPr>
        <w:pStyle w:val="81"/>
        <w:adjustRightInd w:val="0"/>
        <w:spacing w:after="156" w:line="500" w:lineRule="exact"/>
        <w:ind w:firstLine="600" w:firstLineChars="0"/>
        <w:rPr>
          <w:rFonts w:hint="eastAsia" w:ascii="宋体" w:hAnsi="宋体" w:eastAsia="宋体" w:cs="宋体"/>
          <w:bCs/>
          <w:szCs w:val="21"/>
          <w:lang w:val="de-DE" w:eastAsia="de-DE"/>
        </w:rPr>
      </w:pPr>
      <w:r>
        <w:rPr>
          <w:rFonts w:hint="eastAsia" w:ascii="宋体" w:hAnsi="宋体" w:eastAsia="宋体" w:cs="宋体"/>
          <w:bCs/>
          <w:szCs w:val="21"/>
          <w:lang w:val="de-DE"/>
        </w:rPr>
        <w:t>（</w:t>
      </w:r>
      <w:r>
        <w:rPr>
          <w:rFonts w:hint="eastAsia" w:ascii="宋体" w:hAnsi="宋体" w:eastAsia="宋体" w:cs="宋体"/>
          <w:bCs/>
          <w:szCs w:val="21"/>
          <w:lang w:val="en-US"/>
        </w:rPr>
        <w:t>2</w:t>
      </w:r>
      <w:r>
        <w:rPr>
          <w:rFonts w:hint="eastAsia" w:ascii="宋体" w:hAnsi="宋体" w:eastAsia="宋体" w:cs="宋体"/>
          <w:bCs/>
          <w:szCs w:val="21"/>
          <w:lang w:val="de-DE"/>
        </w:rPr>
        <w:t>）</w:t>
      </w:r>
      <w:r>
        <w:rPr>
          <w:rFonts w:hint="eastAsia" w:ascii="宋体" w:hAnsi="宋体" w:eastAsia="宋体" w:cs="宋体"/>
          <w:bCs/>
          <w:szCs w:val="21"/>
          <w:lang w:val="de-DE" w:eastAsia="de-DE"/>
        </w:rPr>
        <w:t>蔬菜水果、新鲜肉类、新鲜水产品、蛋奶产品等食材配送：包括蔬菜、水果类，各类新鲜动物肉，各类新鲜海产品、淡水产品、贝类等，禽蛋、奶制品等。</w:t>
      </w:r>
    </w:p>
    <w:p w14:paraId="169B911C">
      <w:pPr>
        <w:numPr>
          <w:ilvl w:val="255"/>
          <w:numId w:val="0"/>
        </w:numPr>
        <w:tabs>
          <w:tab w:val="left" w:pos="1134"/>
        </w:tabs>
        <w:adjustRightInd w:val="0"/>
        <w:spacing w:line="500" w:lineRule="exact"/>
        <w:ind w:firstLine="422" w:firstLineChars="200"/>
        <w:rPr>
          <w:rFonts w:hint="eastAsia" w:ascii="宋体" w:hAnsi="宋体" w:eastAsia="宋体" w:cs="宋体"/>
          <w:b/>
          <w:szCs w:val="21"/>
        </w:rPr>
      </w:pPr>
      <w:r>
        <w:rPr>
          <w:rFonts w:hint="eastAsia" w:ascii="宋体" w:hAnsi="宋体" w:eastAsia="宋体" w:cs="宋体"/>
          <w:b/>
          <w:szCs w:val="21"/>
        </w:rPr>
        <w:t>2、服务期限要求</w:t>
      </w:r>
    </w:p>
    <w:p w14:paraId="37F8FC88">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bCs/>
          <w:szCs w:val="21"/>
          <w:lang w:val="de-DE" w:eastAsia="de-DE"/>
        </w:rPr>
        <w:t>服务期为合同生效之日起12个月</w:t>
      </w:r>
      <w:r>
        <w:rPr>
          <w:rFonts w:hint="eastAsia" w:ascii="宋体" w:hAnsi="宋体" w:eastAsia="宋体" w:cs="宋体"/>
          <w:bCs/>
          <w:szCs w:val="21"/>
          <w:lang w:val="de-DE"/>
        </w:rPr>
        <w:t>。</w:t>
      </w:r>
    </w:p>
    <w:p w14:paraId="5665CBEC">
      <w:pPr>
        <w:numPr>
          <w:ilvl w:val="255"/>
          <w:numId w:val="0"/>
        </w:numPr>
        <w:tabs>
          <w:tab w:val="left" w:pos="1134"/>
        </w:tabs>
        <w:adjustRightInd w:val="0"/>
        <w:spacing w:line="500" w:lineRule="exact"/>
        <w:ind w:firstLine="422" w:firstLineChars="200"/>
        <w:rPr>
          <w:rFonts w:hint="eastAsia" w:ascii="宋体" w:hAnsi="宋体" w:eastAsia="宋体" w:cs="宋体"/>
          <w:b/>
          <w:szCs w:val="21"/>
        </w:rPr>
      </w:pPr>
      <w:r>
        <w:rPr>
          <w:rFonts w:hint="eastAsia" w:ascii="宋体" w:hAnsi="宋体" w:eastAsia="宋体" w:cs="宋体"/>
          <w:b/>
          <w:szCs w:val="21"/>
        </w:rPr>
        <w:t>3、服务方式要求</w:t>
      </w:r>
    </w:p>
    <w:p w14:paraId="283B0843">
      <w:pPr>
        <w:pStyle w:val="81"/>
        <w:adjustRightInd w:val="0"/>
        <w:spacing w:line="500" w:lineRule="exact"/>
        <w:rPr>
          <w:rFonts w:hint="eastAsia" w:ascii="宋体" w:hAnsi="宋体" w:eastAsia="宋体" w:cs="宋体"/>
          <w:snapToGrid w:val="0"/>
          <w:szCs w:val="21"/>
          <w:lang w:val="en-US"/>
        </w:rPr>
      </w:pPr>
      <w:r>
        <w:rPr>
          <w:rFonts w:hint="eastAsia" w:ascii="宋体" w:hAnsi="宋体" w:eastAsia="宋体" w:cs="宋体"/>
          <w:snapToGrid w:val="0"/>
          <w:szCs w:val="21"/>
          <w:lang w:val="en-US"/>
        </w:rPr>
        <w:t>采用现场配送服务方式。</w:t>
      </w:r>
    </w:p>
    <w:p w14:paraId="4BD2C81F">
      <w:pPr>
        <w:pStyle w:val="59"/>
        <w:widowControl w:val="0"/>
        <w:spacing w:afterLines="0" w:line="500" w:lineRule="exact"/>
        <w:ind w:firstLine="422"/>
        <w:rPr>
          <w:rFonts w:hint="eastAsia" w:ascii="宋体" w:hAnsi="宋体" w:cs="宋体"/>
          <w:b/>
          <w:bCs/>
          <w:sz w:val="21"/>
          <w:szCs w:val="21"/>
        </w:rPr>
      </w:pPr>
      <w:r>
        <w:rPr>
          <w:rFonts w:hint="eastAsia" w:ascii="宋体" w:hAnsi="宋体" w:cs="宋体"/>
          <w:b/>
          <w:bCs/>
          <w:sz w:val="21"/>
          <w:szCs w:val="21"/>
        </w:rPr>
        <w:t>（三）项目管理和实施要求</w:t>
      </w:r>
    </w:p>
    <w:p w14:paraId="7C70F447">
      <w:pPr>
        <w:pStyle w:val="82"/>
        <w:tabs>
          <w:tab w:val="left" w:pos="1946"/>
        </w:tabs>
        <w:adjustRightInd w:val="0"/>
        <w:spacing w:line="500" w:lineRule="exact"/>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rPr>
        <w:t>1、配送运输</w:t>
      </w:r>
    </w:p>
    <w:p w14:paraId="5D3599F3">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napToGrid w:val="0"/>
          <w:szCs w:val="21"/>
        </w:rPr>
        <w:t>（1）凡装运食品及食品原料的运输工具必须打扫干净，保持清洁，必要时应进行消毒，防止运输过程中的污染。</w:t>
      </w:r>
    </w:p>
    <w:p w14:paraId="24678B09">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zCs w:val="21"/>
        </w:rPr>
        <w:t>（2）</w:t>
      </w:r>
      <w:r>
        <w:rPr>
          <w:rFonts w:hint="eastAsia" w:ascii="宋体" w:hAnsi="宋体" w:eastAsia="宋体" w:cs="宋体"/>
          <w:snapToGrid w:val="0"/>
          <w:szCs w:val="21"/>
        </w:rPr>
        <w:t>运输过程中，各产品装框分类，整齐码放，防止交叉污染和相互挤压等情况。</w:t>
      </w:r>
    </w:p>
    <w:p w14:paraId="5B624292">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 xml:space="preserve">（3）增强安全意识，随时保持警惕。食品或食品原料装车以后中途不得离人，必须有人看管，防止有人投毒等意外事故发生。 </w:t>
      </w:r>
    </w:p>
    <w:p w14:paraId="7631B1A1">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（4）采购的食品及食品原料装车以后，坚持配送人员负责到底的原则，即中途不得更换送货人员，以防止出现差错而责任难以区分的情况。</w:t>
      </w:r>
    </w:p>
    <w:p w14:paraId="6DF089B0">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（5）凡是装载过农药、化肥、异味浓烈、有毒物品的车辆不得用来运输食品及食品原料。</w:t>
      </w:r>
    </w:p>
    <w:p w14:paraId="7FEF9C7C">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（6）中标人应负责将采购的物资，在规定的时间内运至采购人指定地点。</w:t>
      </w:r>
    </w:p>
    <w:p w14:paraId="76DCCD7D">
      <w:pPr>
        <w:tabs>
          <w:tab w:val="left" w:pos="1134"/>
        </w:tabs>
        <w:autoSpaceDE w:val="0"/>
        <w:adjustRightInd w:val="0"/>
        <w:spacing w:line="500" w:lineRule="exact"/>
        <w:ind w:firstLine="420" w:firstLineChars="200"/>
        <w:rPr>
          <w:rFonts w:hint="eastAsia" w:ascii="宋体" w:hAnsi="宋体" w:eastAsia="宋体" w:cs="宋体"/>
          <w:szCs w:val="21"/>
        </w:rPr>
      </w:pPr>
      <w:r>
        <w:rPr>
          <w:rFonts w:hint="eastAsia" w:ascii="宋体" w:hAnsi="宋体" w:eastAsia="宋体" w:cs="宋体"/>
          <w:snapToGrid w:val="0"/>
          <w:szCs w:val="21"/>
        </w:rPr>
        <w:t>（7）中标人应安排专人专车运送,在每日8：30前将所需食材送达采购人指定地点，需冷藏运输的食材必须采用冷链配送车辆配送。中标后向采购人提供配送人员有效的身份证件 、健康证和车辆行驶证证件。中标人须派固定车辆和司机负责送货上门(车牌号及送货人员名单应报采购人备案），如遇人员调整应提前报采购人备案。须派固定服务对接人员，协调具体的配送事宜。</w:t>
      </w:r>
    </w:p>
    <w:p w14:paraId="25F450ED">
      <w:pPr>
        <w:tabs>
          <w:tab w:val="left" w:pos="1134"/>
        </w:tabs>
        <w:autoSpaceDE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8）车辆配备：中标人应至少配备2辆配送车辆（自有或租赁均可），其中1辆为冷链车，【投标人须在投标文件中同时提供：①车辆行驶证及完整的车辆登记证复印件、车辆照片（含车辆内部照片）；②按以下情形提供的相应证明材料：a.属于自有车辆的，自有车辆所有人应与投标人一致；b.属于租赁车辆的，须提供有效期内的租赁或运输合同及租金或运费发票；c.属于无偿租赁车辆需同时提供以下材料：无偿租赁协议（明确车辆使用权归属及租赁期限覆盖服务期）；投标截止时间前六个月内无偿租赁期间的物流出仓记录；税务部门对无偿租赁事项的完税证明（若涉及增值税免税需提供免税备案文件）。[注：若租赁协议签订于投标截止当月，须提供</w:t>
      </w:r>
      <w:r>
        <w:rPr>
          <w:rFonts w:hint="eastAsia" w:ascii="宋体" w:hAnsi="宋体" w:eastAsia="宋体" w:cs="宋体"/>
          <w:szCs w:val="21"/>
          <w:lang w:bidi="ar"/>
        </w:rPr>
        <w:t>租赁协议</w:t>
      </w:r>
      <w:r>
        <w:rPr>
          <w:rFonts w:hint="eastAsia" w:ascii="宋体" w:hAnsi="宋体" w:eastAsia="宋体" w:cs="宋体"/>
          <w:szCs w:val="21"/>
        </w:rPr>
        <w:t>及承诺函（承诺租赁期限覆盖服务期）]。注：所有证件需在有效期内，租赁期限需覆盖本项目服务期。</w:t>
      </w:r>
      <w:r>
        <w:rPr>
          <w:rFonts w:hint="eastAsia" w:ascii="宋体" w:hAnsi="宋体" w:eastAsia="宋体" w:cs="宋体"/>
          <w:b/>
          <w:bCs/>
          <w:szCs w:val="21"/>
        </w:rPr>
        <w:t>未提供或提供不全的按无效投标处理。】</w:t>
      </w:r>
    </w:p>
    <w:p w14:paraId="53148EEE">
      <w:pPr>
        <w:pStyle w:val="81"/>
        <w:adjustRightInd w:val="0"/>
        <w:spacing w:line="500" w:lineRule="exact"/>
        <w:ind w:firstLine="422"/>
        <w:outlineLvl w:val="1"/>
        <w:rPr>
          <w:rFonts w:hint="eastAsia" w:ascii="宋体" w:hAnsi="宋体" w:eastAsia="宋体" w:cs="宋体"/>
          <w:b/>
          <w:bCs/>
          <w:snapToGrid w:val="0"/>
          <w:szCs w:val="21"/>
          <w:lang w:val="en-US"/>
        </w:rPr>
      </w:pPr>
      <w:r>
        <w:rPr>
          <w:rFonts w:hint="eastAsia" w:ascii="宋体" w:hAnsi="宋体" w:eastAsia="宋体" w:cs="宋体"/>
          <w:b/>
          <w:bCs/>
          <w:snapToGrid w:val="0"/>
          <w:szCs w:val="21"/>
          <w:lang w:val="en-US"/>
        </w:rPr>
        <w:t>2、保障要求</w:t>
      </w:r>
    </w:p>
    <w:p w14:paraId="478998D8">
      <w:pPr>
        <w:pStyle w:val="81"/>
        <w:adjustRightInd w:val="0"/>
        <w:spacing w:line="500" w:lineRule="exact"/>
        <w:outlineLvl w:val="1"/>
        <w:rPr>
          <w:rFonts w:hint="eastAsia" w:ascii="宋体" w:hAnsi="宋体" w:eastAsia="宋体" w:cs="宋体"/>
          <w:szCs w:val="21"/>
        </w:rPr>
      </w:pPr>
      <w:r>
        <w:rPr>
          <w:rFonts w:hint="eastAsia" w:ascii="宋体" w:hAnsi="宋体" w:eastAsia="宋体" w:cs="宋体"/>
          <w:snapToGrid w:val="0"/>
          <w:szCs w:val="21"/>
          <w:lang w:val="en-US"/>
        </w:rPr>
        <w:t>（1）</w:t>
      </w:r>
      <w:r>
        <w:rPr>
          <w:rFonts w:hint="eastAsia" w:ascii="宋体" w:hAnsi="宋体" w:eastAsia="宋体" w:cs="宋体"/>
          <w:szCs w:val="21"/>
        </w:rPr>
        <w:t>采购人每天对中标人的到货时间、到货及时性、应到品种、实际到货品种、退货情况、产品退货率等进行记录，每月进行综合考评，中标人</w:t>
      </w:r>
      <w:r>
        <w:rPr>
          <w:rFonts w:hint="eastAsia" w:ascii="宋体" w:hAnsi="宋体" w:eastAsia="宋体" w:cs="宋体"/>
          <w:szCs w:val="21"/>
          <w:lang w:val="en-US"/>
        </w:rPr>
        <w:t>若存在</w:t>
      </w:r>
      <w:r>
        <w:rPr>
          <w:rFonts w:hint="eastAsia" w:ascii="宋体" w:hAnsi="宋体" w:eastAsia="宋体" w:cs="宋体"/>
          <w:szCs w:val="21"/>
        </w:rPr>
        <w:t>不诚信行为，</w:t>
      </w:r>
      <w:r>
        <w:rPr>
          <w:rFonts w:hint="eastAsia" w:ascii="宋体" w:hAnsi="宋体" w:eastAsia="宋体" w:cs="宋体"/>
          <w:szCs w:val="21"/>
          <w:lang w:val="en-US"/>
        </w:rPr>
        <w:t>应当承担被</w:t>
      </w:r>
      <w:r>
        <w:rPr>
          <w:rFonts w:hint="eastAsia" w:ascii="宋体" w:hAnsi="宋体" w:eastAsia="宋体" w:cs="宋体"/>
          <w:szCs w:val="21"/>
        </w:rPr>
        <w:t>警告、</w:t>
      </w:r>
      <w:r>
        <w:rPr>
          <w:rFonts w:hint="eastAsia" w:ascii="宋体" w:hAnsi="宋体" w:eastAsia="宋体" w:cs="宋体"/>
          <w:szCs w:val="21"/>
          <w:lang w:val="en-US"/>
        </w:rPr>
        <w:t>被</w:t>
      </w:r>
      <w:r>
        <w:rPr>
          <w:rFonts w:hint="eastAsia" w:ascii="宋体" w:hAnsi="宋体" w:eastAsia="宋体" w:cs="宋体"/>
          <w:szCs w:val="21"/>
        </w:rPr>
        <w:t>严重警告、</w:t>
      </w:r>
      <w:r>
        <w:rPr>
          <w:rFonts w:hint="eastAsia" w:ascii="宋体" w:hAnsi="宋体" w:eastAsia="宋体" w:cs="宋体"/>
          <w:szCs w:val="21"/>
          <w:lang w:val="en-US"/>
        </w:rPr>
        <w:t>支付违约金</w:t>
      </w:r>
      <w:r>
        <w:rPr>
          <w:rFonts w:hint="eastAsia" w:ascii="宋体" w:hAnsi="宋体" w:eastAsia="宋体" w:cs="宋体"/>
          <w:szCs w:val="21"/>
        </w:rPr>
        <w:t>等</w:t>
      </w:r>
      <w:r>
        <w:rPr>
          <w:rFonts w:hint="eastAsia" w:ascii="宋体" w:hAnsi="宋体" w:eastAsia="宋体" w:cs="宋体"/>
          <w:szCs w:val="21"/>
          <w:lang w:val="en-US"/>
        </w:rPr>
        <w:t>违约责任</w:t>
      </w:r>
      <w:r>
        <w:rPr>
          <w:rFonts w:hint="eastAsia" w:ascii="宋体" w:hAnsi="宋体" w:eastAsia="宋体" w:cs="宋体"/>
          <w:szCs w:val="21"/>
        </w:rPr>
        <w:t>。</w:t>
      </w:r>
    </w:p>
    <w:p w14:paraId="106EF117">
      <w:pPr>
        <w:pStyle w:val="81"/>
        <w:adjustRightInd w:val="0"/>
        <w:spacing w:line="500" w:lineRule="exact"/>
        <w:outlineLvl w:val="1"/>
        <w:rPr>
          <w:rFonts w:hint="eastAsia" w:ascii="宋体" w:hAnsi="宋体" w:eastAsia="宋体" w:cs="宋体"/>
          <w:szCs w:val="21"/>
        </w:rPr>
      </w:pPr>
      <w:r>
        <w:rPr>
          <w:rFonts w:hint="eastAsia" w:ascii="宋体" w:hAnsi="宋体" w:eastAsia="宋体" w:cs="宋体"/>
          <w:szCs w:val="21"/>
          <w:lang w:val="en-US"/>
        </w:rPr>
        <w:t>（2）</w:t>
      </w:r>
      <w:r>
        <w:rPr>
          <w:rFonts w:hint="eastAsia" w:ascii="宋体" w:hAnsi="宋体" w:eastAsia="宋体" w:cs="宋体"/>
          <w:szCs w:val="21"/>
        </w:rPr>
        <w:t>采购人使用</w:t>
      </w:r>
      <w:r>
        <w:rPr>
          <w:rFonts w:hint="eastAsia" w:ascii="宋体" w:hAnsi="宋体" w:eastAsia="宋体" w:cs="宋体"/>
          <w:szCs w:val="21"/>
          <w:lang w:val="en-US"/>
        </w:rPr>
        <w:t>部门</w:t>
      </w:r>
      <w:r>
        <w:rPr>
          <w:rFonts w:hint="eastAsia" w:ascii="宋体" w:hAnsi="宋体" w:eastAsia="宋体" w:cs="宋体"/>
          <w:szCs w:val="21"/>
        </w:rPr>
        <w:t>按合同对商品进行认真验收，对不符合规格要求的商品，采购人无条件退货；中标人未能履行招标文件和合同所约定事项, 或供应不合格的、假冒伪劣、以次充好的商品或供货时的商品与中标人投标文件中的承诺不符，采购人使用</w:t>
      </w:r>
      <w:r>
        <w:rPr>
          <w:rFonts w:hint="eastAsia" w:ascii="宋体" w:hAnsi="宋体" w:eastAsia="宋体" w:cs="宋体"/>
          <w:szCs w:val="21"/>
          <w:lang w:val="en-US"/>
        </w:rPr>
        <w:t>部门</w:t>
      </w:r>
      <w:r>
        <w:rPr>
          <w:rFonts w:hint="eastAsia" w:ascii="宋体" w:hAnsi="宋体" w:eastAsia="宋体" w:cs="宋体"/>
          <w:szCs w:val="21"/>
        </w:rPr>
        <w:t>退货后将记录在案，并根据规定对中标人予以处理。中标人除要承担采购人因此产生的一切损失和费用外，出现</w:t>
      </w:r>
      <w:r>
        <w:rPr>
          <w:rFonts w:hint="eastAsia" w:ascii="宋体" w:hAnsi="宋体" w:eastAsia="宋体" w:cs="宋体"/>
          <w:szCs w:val="21"/>
          <w:lang w:val="en-US"/>
        </w:rPr>
        <w:t>一个月内累计达到3</w:t>
      </w:r>
      <w:r>
        <w:rPr>
          <w:rFonts w:hint="eastAsia" w:ascii="宋体" w:hAnsi="宋体" w:eastAsia="宋体" w:cs="宋体"/>
          <w:szCs w:val="21"/>
        </w:rPr>
        <w:t>次</w:t>
      </w:r>
      <w:r>
        <w:rPr>
          <w:rFonts w:hint="eastAsia" w:ascii="宋体" w:hAnsi="宋体" w:cs="宋体"/>
          <w:szCs w:val="21"/>
          <w:lang w:val="en-US"/>
        </w:rPr>
        <w:t>及以上</w:t>
      </w:r>
      <w:r>
        <w:rPr>
          <w:rFonts w:hint="eastAsia" w:ascii="宋体" w:hAnsi="宋体" w:eastAsia="宋体" w:cs="宋体"/>
          <w:szCs w:val="21"/>
        </w:rPr>
        <w:t>退货等或情节严重的情形，采购人有权</w:t>
      </w:r>
      <w:r>
        <w:rPr>
          <w:rFonts w:hint="eastAsia" w:ascii="宋体" w:hAnsi="宋体" w:eastAsia="宋体" w:cs="宋体"/>
          <w:szCs w:val="21"/>
          <w:lang w:val="en-US"/>
        </w:rPr>
        <w:t>单方</w:t>
      </w:r>
      <w:r>
        <w:rPr>
          <w:rFonts w:hint="eastAsia" w:ascii="宋体" w:hAnsi="宋体" w:eastAsia="宋体" w:cs="宋体"/>
          <w:szCs w:val="21"/>
        </w:rPr>
        <w:t>解除中标人供货合同。并另行采购所需货物，由此带来的一切损失及费用由中标人承担。</w:t>
      </w:r>
    </w:p>
    <w:p w14:paraId="4CC17772">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（3）在配送过程中送货人员与采购人的</w:t>
      </w:r>
      <w:r>
        <w:rPr>
          <w:rFonts w:hint="eastAsia" w:ascii="宋体" w:hAnsi="宋体" w:eastAsia="宋体" w:cs="宋体"/>
          <w:snapToGrid w:val="0"/>
          <w:szCs w:val="21"/>
        </w:rPr>
        <w:t>单位</w:t>
      </w:r>
      <w:r>
        <w:rPr>
          <w:rFonts w:hint="eastAsia" w:ascii="宋体" w:hAnsi="宋体" w:eastAsia="宋体" w:cs="宋体"/>
          <w:szCs w:val="21"/>
        </w:rPr>
        <w:t>人员发生冲突、争执、打架斗殴等行为，除中标人应支付1000元/次的违约金外，采购人还有权要求更换送货人员，情节严重时，采购人有权单方解除合同。</w:t>
      </w:r>
    </w:p>
    <w:p w14:paraId="5D44BD16">
      <w:pPr>
        <w:pStyle w:val="82"/>
        <w:tabs>
          <w:tab w:val="left" w:pos="1946"/>
        </w:tabs>
        <w:spacing w:line="500" w:lineRule="exact"/>
        <w:ind w:firstLineChars="200"/>
        <w:rPr>
          <w:rFonts w:hint="eastAsia" w:ascii="宋体" w:hAnsi="宋体" w:eastAsia="宋体" w:cs="宋体"/>
          <w:szCs w:val="21"/>
        </w:rPr>
      </w:pPr>
      <w:r>
        <w:rPr>
          <w:rFonts w:hint="eastAsia" w:ascii="宋体" w:hAnsi="宋体" w:eastAsia="宋体" w:cs="宋体"/>
          <w:szCs w:val="21"/>
        </w:rPr>
        <w:t>（4）中标人应严格遵守采购人管理制度，服从采购人的管理。配送过程中不得发生违章行为，因违章造成的一切损失由中标人负全部责任。</w:t>
      </w:r>
    </w:p>
    <w:p w14:paraId="4AF2A97D">
      <w:pPr>
        <w:tabs>
          <w:tab w:val="left" w:pos="1134"/>
        </w:tabs>
        <w:adjustRightInd w:val="0"/>
        <w:spacing w:line="500" w:lineRule="exact"/>
        <w:ind w:firstLine="422" w:firstLineChars="200"/>
        <w:rPr>
          <w:rFonts w:hint="eastAsia" w:ascii="宋体" w:hAnsi="宋体" w:eastAsia="宋体" w:cs="宋体"/>
          <w:b/>
          <w:szCs w:val="21"/>
        </w:rPr>
      </w:pPr>
      <w:r>
        <w:rPr>
          <w:rFonts w:hint="eastAsia" w:ascii="宋体" w:hAnsi="宋体" w:eastAsia="宋体" w:cs="宋体"/>
          <w:b/>
          <w:szCs w:val="21"/>
        </w:rPr>
        <w:t>3、管理实施要求</w:t>
      </w:r>
    </w:p>
    <w:p w14:paraId="1D268807">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 xml:space="preserve">（1）中标人应遵守采购人的各项规定。 </w:t>
      </w:r>
    </w:p>
    <w:p w14:paraId="65B84FC2">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 xml:space="preserve">（2）中标人在接到采购人下达的订单后，应严格按照订单指定的商标、名称、产地、规格和重量等要求提供货物，不得擅自变更。否则，采购人有权拒收。 </w:t>
      </w:r>
    </w:p>
    <w:p w14:paraId="07177BBD">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 xml:space="preserve">（3）中标人按所供应商品的销售额开具发票。 </w:t>
      </w:r>
    </w:p>
    <w:p w14:paraId="6EE77A64">
      <w:pPr>
        <w:pStyle w:val="82"/>
        <w:tabs>
          <w:tab w:val="left" w:pos="1946"/>
        </w:tabs>
        <w:adjustRightInd w:val="0"/>
        <w:spacing w:line="500" w:lineRule="exact"/>
        <w:ind w:firstLineChars="200"/>
        <w:rPr>
          <w:rFonts w:hint="eastAsia" w:ascii="宋体" w:hAnsi="宋体" w:eastAsia="宋体" w:cs="宋体"/>
          <w:snapToGrid w:val="0"/>
          <w:szCs w:val="21"/>
        </w:rPr>
      </w:pPr>
      <w:r>
        <w:rPr>
          <w:rFonts w:hint="eastAsia" w:ascii="宋体" w:hAnsi="宋体" w:eastAsia="宋体" w:cs="宋体"/>
          <w:snapToGrid w:val="0"/>
          <w:szCs w:val="21"/>
        </w:rPr>
        <w:t>（4）食品溯源要求：中标人对食品供应链进行明确，所有食品的来源清晰，包装食品要有 SC 标志。生产食品的源头与中标人要有固定的合法的供应关系，严禁收购非标准产品供应。</w:t>
      </w:r>
    </w:p>
    <w:p w14:paraId="5F6FD428">
      <w:pPr>
        <w:pStyle w:val="82"/>
        <w:tabs>
          <w:tab w:val="left" w:pos="1946"/>
        </w:tabs>
        <w:spacing w:line="500" w:lineRule="exact"/>
        <w:ind w:firstLineChars="200"/>
        <w:rPr>
          <w:rFonts w:hint="eastAsia" w:ascii="宋体" w:hAnsi="宋体" w:eastAsia="宋体" w:cs="宋体"/>
          <w:szCs w:val="21"/>
        </w:rPr>
      </w:pPr>
      <w:r>
        <w:rPr>
          <w:rFonts w:hint="eastAsia" w:ascii="宋体" w:hAnsi="宋体" w:eastAsia="宋体" w:cs="宋体"/>
          <w:snapToGrid w:val="0"/>
          <w:szCs w:val="21"/>
        </w:rPr>
        <w:t>（5）中标人代理采购的所有产品必须是正规渠道生产加工、正规商场和市场销售的产品，农副产品包括蔬菜、干货等采购必须在具规模的农产品交易市场进行采购。采购人有权知晓中标人采购渠道和采购场所并且进行调查，中标人必须如实提供采购渠道信息，采购人会不定期对中标人的采购渠道进行检查。</w:t>
      </w:r>
    </w:p>
    <w:p w14:paraId="4C036ABD">
      <w:pPr>
        <w:tabs>
          <w:tab w:val="left" w:pos="1134"/>
        </w:tabs>
        <w:adjustRightInd w:val="0"/>
        <w:spacing w:line="500" w:lineRule="exact"/>
        <w:ind w:firstLine="422" w:firstLineChars="200"/>
        <w:rPr>
          <w:rFonts w:hint="eastAsia" w:ascii="宋体" w:hAnsi="宋体" w:eastAsia="宋体" w:cs="宋体"/>
          <w:b/>
          <w:szCs w:val="21"/>
        </w:rPr>
      </w:pPr>
      <w:r>
        <w:rPr>
          <w:rFonts w:hint="eastAsia" w:ascii="宋体" w:hAnsi="宋体" w:eastAsia="宋体" w:cs="宋体"/>
          <w:b/>
          <w:szCs w:val="21"/>
        </w:rPr>
        <w:t>4、质量要求</w:t>
      </w:r>
    </w:p>
    <w:p w14:paraId="1904660C">
      <w:pPr>
        <w:pStyle w:val="79"/>
        <w:spacing w:line="500" w:lineRule="exact"/>
        <w:ind w:firstLine="560"/>
        <w:rPr>
          <w:rFonts w:hint="eastAsia" w:ascii="宋体" w:hAnsi="宋体" w:eastAsia="宋体" w:cs="宋体"/>
          <w:szCs w:val="21"/>
          <w:lang w:val="zh-CN"/>
        </w:rPr>
      </w:pPr>
      <w:r>
        <w:rPr>
          <w:rFonts w:hint="eastAsia" w:ascii="宋体" w:hAnsi="宋体" w:eastAsia="宋体" w:cs="宋体"/>
          <w:szCs w:val="21"/>
        </w:rPr>
        <w:t>中标人供应的货物必须符合《中华人民共和国食品安全法》、《中华人民共和国农产品质量安全法》、《中华人民共和国产品质量法》等国家行业标准及南平市食品监管的有关规定，保证来源正规安全，均符合国家规定的质量、卫生、安全和防疫标准，并具有相关的检验检疫合格证明。中标人对提供货物的质量、卫生、食品安全和防疫措施承担全部责任，且所有的货物剩余保质期不得少于全部保质期的的三分之二。允许采购人随时查阅货物各环节相关记录（包含原料采购记录及进货发票单据、原辅料的合格证明及验收记录、原辅料进出仓记录、生产过程记录、成品进出仓记录、成品检验报告&lt;自检、送检&gt;、销售记录、须冷链运输的货物提供冷链运输记录）等。</w:t>
      </w:r>
      <w:r>
        <w:rPr>
          <w:rFonts w:hint="eastAsia" w:ascii="宋体" w:hAnsi="宋体" w:eastAsia="宋体" w:cs="宋体"/>
          <w:szCs w:val="21"/>
          <w:lang w:val="zh-CN"/>
        </w:rPr>
        <w:t>具体要求如下：</w:t>
      </w:r>
    </w:p>
    <w:p w14:paraId="3A7863C2">
      <w:pPr>
        <w:adjustRightInd w:val="0"/>
        <w:snapToGrid w:val="0"/>
        <w:spacing w:line="500" w:lineRule="exact"/>
        <w:ind w:firstLine="420" w:firstLineChars="200"/>
        <w:rPr>
          <w:rFonts w:hint="eastAsia" w:ascii="宋体" w:hAnsi="宋体" w:eastAsia="宋体" w:cs="宋体"/>
          <w:b/>
          <w:bCs/>
          <w:szCs w:val="21"/>
        </w:rPr>
      </w:pPr>
      <w:r>
        <w:rPr>
          <w:rFonts w:hint="eastAsia" w:ascii="宋体" w:hAnsi="宋体" w:eastAsia="宋体" w:cs="宋体"/>
          <w:snapToGrid w:val="0"/>
          <w:szCs w:val="21"/>
        </w:rPr>
        <w:t>4.1</w:t>
      </w:r>
      <w:r>
        <w:rPr>
          <w:rFonts w:hint="eastAsia" w:ascii="宋体" w:hAnsi="宋体" w:eastAsia="宋体" w:cs="宋体"/>
          <w:b/>
          <w:bCs/>
          <w:szCs w:val="21"/>
        </w:rPr>
        <w:t>粮油、调味品、奶制品类</w:t>
      </w:r>
    </w:p>
    <w:p w14:paraId="4F487E19">
      <w:pPr>
        <w:adjustRightInd w:val="0"/>
        <w:snapToGrid w:val="0"/>
        <w:spacing w:line="500" w:lineRule="exact"/>
        <w:ind w:firstLine="420" w:firstLineChars="200"/>
        <w:rPr>
          <w:rFonts w:hint="eastAsia" w:ascii="宋体" w:hAnsi="宋体" w:eastAsia="宋体" w:cs="宋体"/>
          <w:szCs w:val="21"/>
          <w:lang w:val="zh-CN"/>
        </w:rPr>
      </w:pPr>
      <w:bookmarkStart w:id="60" w:name="_Toc402290178"/>
      <w:r>
        <w:rPr>
          <w:rFonts w:hint="eastAsia" w:ascii="宋体" w:hAnsi="宋体" w:eastAsia="宋体" w:cs="宋体"/>
          <w:szCs w:val="21"/>
        </w:rPr>
        <w:t>4.</w:t>
      </w:r>
      <w:r>
        <w:rPr>
          <w:rFonts w:hint="eastAsia" w:ascii="宋体" w:hAnsi="宋体" w:eastAsia="宋体" w:cs="宋体"/>
          <w:szCs w:val="21"/>
          <w:lang w:val="zh-CN"/>
        </w:rPr>
        <w:t>1.</w:t>
      </w:r>
      <w:r>
        <w:rPr>
          <w:rFonts w:hint="eastAsia" w:ascii="宋体" w:hAnsi="宋体" w:eastAsia="宋体" w:cs="宋体"/>
          <w:szCs w:val="21"/>
        </w:rPr>
        <w:t>1</w:t>
      </w:r>
      <w:r>
        <w:rPr>
          <w:rFonts w:hint="eastAsia" w:ascii="宋体" w:hAnsi="宋体" w:eastAsia="宋体" w:cs="宋体"/>
          <w:szCs w:val="21"/>
          <w:lang w:val="zh-CN"/>
        </w:rPr>
        <w:t>稻米的质量检验标准</w:t>
      </w:r>
      <w:bookmarkEnd w:id="60"/>
    </w:p>
    <w:p w14:paraId="0D44D029">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大米的品质应符合GB/T 1354-2018《大米》的标准。</w:t>
      </w:r>
    </w:p>
    <w:p w14:paraId="6568337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（1）米的粒形：以米粒形均匀、整齐、重量轻、没有碎米和爆腰米的品质为较好，相反则差。碎米是指米的体积在整粒的2/3以下的米，爆腰米为米粒上有裂纹的米，易碎、口味较差。</w:t>
      </w:r>
    </w:p>
    <w:p w14:paraId="1B046718">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（2）米的腹白：米粒上呈乳白色的部分叫腹白，没有腹白的米，体积小、硬度低，易碎，蛋白质含量低，品质差。</w:t>
      </w:r>
    </w:p>
    <w:p w14:paraId="06FD8362">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（3）米的硬度：米能承担机械压力的程度叫米的硬度，凡是硬度大的米品质就高。硬度小的米，品质就差，易成碎米。</w:t>
      </w:r>
    </w:p>
    <w:p w14:paraId="5DEF8B10">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4）米的新鲜度：米的品质检验除上述三种外，对其新鲜度和卫生状况的检查是最主要的方面。新鲜的米有清香味和光泽、无米糠和其它杂物、无虫害、无异味、无霉味，用手摸时滑爽、干燥。而陈米则颜色暗淡无光、染有虫害痕迹，甚至发霉、粘连结块，煮熟食用，质感粗糙、口味差。</w:t>
      </w:r>
    </w:p>
    <w:p w14:paraId="7FDF2A2C">
      <w:pPr>
        <w:adjustRightInd w:val="0"/>
        <w:snapToGrid w:val="0"/>
        <w:spacing w:line="500" w:lineRule="exact"/>
        <w:ind w:firstLine="420" w:firstLineChars="200"/>
        <w:rPr>
          <w:rFonts w:hint="eastAsia" w:ascii="宋体" w:hAnsi="宋体" w:eastAsia="宋体" w:cs="宋体"/>
          <w:szCs w:val="21"/>
          <w:lang w:val="zh-CN"/>
        </w:rPr>
      </w:pPr>
      <w:bookmarkStart w:id="61" w:name="_Toc402290179"/>
      <w:r>
        <w:rPr>
          <w:rFonts w:hint="eastAsia" w:ascii="宋体" w:hAnsi="宋体" w:eastAsia="宋体" w:cs="宋体"/>
          <w:szCs w:val="21"/>
        </w:rPr>
        <w:t>4.1.2</w:t>
      </w:r>
      <w:r>
        <w:rPr>
          <w:rFonts w:hint="eastAsia" w:ascii="宋体" w:hAnsi="宋体" w:eastAsia="宋体" w:cs="宋体"/>
          <w:szCs w:val="21"/>
          <w:lang w:val="zh-CN"/>
        </w:rPr>
        <w:t>面粉的品质检验标准</w:t>
      </w:r>
      <w:bookmarkEnd w:id="61"/>
    </w:p>
    <w:p w14:paraId="69BBE8B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面粉品质好坏有较明显的区别，主要从含水量、颜色、面筋质和新鲜度等几个方面进行品质检验。</w:t>
      </w:r>
    </w:p>
    <w:p w14:paraId="780370C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（1）水分：国家规定面粉含水量在12-13%间，含水量正常的面粉用手捏有滑爽的感觉，如捏而有形不散，则含水量过多，不易存放。</w:t>
      </w:r>
    </w:p>
    <w:p w14:paraId="3D84D6B2">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（2）面粉的颜色随着面粉加工的精度不同而不同,颜色越白精度越高,但其维生素含量低,如果保管时间过长或保管条件潮湿,面粉的颜色就会加深,品质降低。</w:t>
      </w:r>
    </w:p>
    <w:p w14:paraId="53B89D3C">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（3）面筋质：面筋质决定面粉品质，面筋质含量高，品质就好，但也有一定的含量标准，如果过高其它成分就相应减少，品质就不一定好。</w:t>
      </w:r>
    </w:p>
    <w:p w14:paraId="73EC4DE8">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（4）新鲜度，新鲜的面粉有正常气味，颜色较淡。如是带有腐败味、霉味、颜色发深的面粉已陈，如因水分过多，产生发霉、结块现象，表明已变质，新鲜程度是鉴定面粉品质的基本标准和方法。</w:t>
      </w:r>
    </w:p>
    <w:p w14:paraId="5541B33A">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（5）中标人提供的面粉必须符合</w:t>
      </w:r>
      <w:r>
        <w:rPr>
          <w:rFonts w:hint="eastAsia" w:ascii="宋体" w:hAnsi="宋体" w:eastAsia="宋体" w:cs="宋体"/>
          <w:szCs w:val="21"/>
        </w:rPr>
        <w:t>GB/T 1355-2021《</w:t>
      </w:r>
      <w:r>
        <w:rPr>
          <w:rFonts w:hint="eastAsia" w:ascii="宋体" w:hAnsi="宋体" w:eastAsia="宋体" w:cs="宋体"/>
          <w:szCs w:val="21"/>
          <w:lang w:val="zh-CN"/>
        </w:rPr>
        <w:t>小麦粉</w:t>
      </w:r>
      <w:r>
        <w:rPr>
          <w:rFonts w:hint="eastAsia" w:ascii="宋体" w:hAnsi="宋体" w:eastAsia="宋体" w:cs="宋体"/>
          <w:szCs w:val="21"/>
        </w:rPr>
        <w:t>》</w:t>
      </w:r>
      <w:r>
        <w:rPr>
          <w:rFonts w:hint="eastAsia" w:ascii="宋体" w:hAnsi="宋体" w:eastAsia="宋体" w:cs="宋体"/>
          <w:szCs w:val="21"/>
          <w:lang w:val="zh-CN"/>
        </w:rPr>
        <w:t>国家标准并拥有“SC”食品生产许可证。</w:t>
      </w:r>
    </w:p>
    <w:p w14:paraId="46DD6D6A">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特制一等：灰分(以干基计)≤0.70%；粗细度：全部通过CB36号筛，留存在CB42号筛的不超过10.0%；面筋质（以湿重计）：≥26.0%；含砂量：≤0.02%；磁性金属物≤0.003g/Kg；水分≤14.0%；脂肪酸值（以湿基计）：≤80；气味、口味：正常。</w:t>
      </w:r>
    </w:p>
    <w:p w14:paraId="47BE1BB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特制二等：灰分(以干基计)≤0.85%；粗细度：全部通过CB30号筛，留存在CB36号筛的不超过10.0%；面筋质（以湿重计）：≥25.0%；含砂量：≤0.02%；磁性金属物≤0.003g/Kg；水分≤14.0%；脂肪酸值（以湿基计）：≤80；气味、口味：正常。</w:t>
      </w:r>
    </w:p>
    <w:p w14:paraId="23472DBC">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标准粉：灰分(以干基计)≤1.10%；粗细度：全部通过CB20号筛，留存在CB30号筛的不超过20.0%；面筋质（以湿重计）：≥24.0%；含砂量：≤0.02%；磁性金属物≤0.003g/Kg；水分≤13.5%；脂肪酸值（以湿基计）：≤80；气味、口味：正常。</w:t>
      </w:r>
    </w:p>
    <w:p w14:paraId="7AD82CDD">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普通粉：灰分(以干基计)≤1.40%；粗细度：全部通过CB20号筛；面筋质（以湿重计）：≥22.0%；含砂量：≤0.02%；磁性金属物≤0.003g/Kg；水分≤13.5%；脂肪酸值（以湿基计）：≤80；气味、口味：正常。</w:t>
      </w:r>
    </w:p>
    <w:p w14:paraId="39D54453">
      <w:pPr>
        <w:adjustRightInd w:val="0"/>
        <w:snapToGrid w:val="0"/>
        <w:spacing w:line="500" w:lineRule="exact"/>
        <w:ind w:firstLine="420" w:firstLineChars="200"/>
        <w:rPr>
          <w:rFonts w:hint="eastAsia" w:ascii="宋体" w:hAnsi="宋体" w:eastAsia="宋体" w:cs="宋体"/>
          <w:szCs w:val="21"/>
          <w:lang w:val="zh-CN"/>
        </w:rPr>
      </w:pPr>
      <w:bookmarkStart w:id="62" w:name="_Toc402290180"/>
      <w:r>
        <w:rPr>
          <w:rFonts w:hint="eastAsia" w:ascii="宋体" w:hAnsi="宋体" w:eastAsia="宋体" w:cs="宋体"/>
          <w:szCs w:val="21"/>
        </w:rPr>
        <w:t>4.1.3</w:t>
      </w:r>
      <w:r>
        <w:rPr>
          <w:rFonts w:hint="eastAsia" w:ascii="宋体" w:hAnsi="宋体" w:eastAsia="宋体" w:cs="宋体"/>
          <w:szCs w:val="21"/>
          <w:lang w:val="zh-CN"/>
        </w:rPr>
        <w:t>淀粉的品质检验标准</w:t>
      </w:r>
      <w:bookmarkEnd w:id="62"/>
    </w:p>
    <w:p w14:paraId="26BC3457">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淀粉的品质因不同的加工原料而有差别，因此对淀粉的品质检验，除考虑其固有品质外，应从其加工纯度和是否含有其它杂质及含水量等方面来检验。纯度愈高，杂质愈少，含水量愈低，其品质愈好。</w:t>
      </w:r>
    </w:p>
    <w:p w14:paraId="3BD17DC7">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4.1.4</w:t>
      </w:r>
      <w:r>
        <w:rPr>
          <w:rFonts w:hint="eastAsia" w:ascii="宋体" w:hAnsi="宋体" w:eastAsia="宋体" w:cs="宋体"/>
          <w:szCs w:val="21"/>
          <w:lang w:val="zh-CN"/>
        </w:rPr>
        <w:t>禽蛋品质检验标准</w:t>
      </w:r>
    </w:p>
    <w:p w14:paraId="4FE53013">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中标人提供的禽蛋应符合GB 2749-2015《食品安全国家标准 蛋与蛋制品》国家标准。</w:t>
      </w:r>
    </w:p>
    <w:p w14:paraId="72D07C16">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色泽：具有禽蛋固有的色泽；</w:t>
      </w:r>
    </w:p>
    <w:p w14:paraId="0B835F75">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组织形态：蛋壳清洁、无破裂，打开后蛋黄凸起、完整、有韧性，蛋白澄清透明、稀稠分明；</w:t>
      </w:r>
    </w:p>
    <w:p w14:paraId="38BDCB1B">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气味：具有货物固有的气味，无异味；</w:t>
      </w:r>
    </w:p>
    <w:p w14:paraId="369A95ED">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杂质：无杂质，内容物不得有血块及其他组织异物。</w:t>
      </w:r>
    </w:p>
    <w:p w14:paraId="29AD89E4">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4.1.5</w:t>
      </w:r>
      <w:r>
        <w:rPr>
          <w:rFonts w:hint="eastAsia" w:ascii="宋体" w:hAnsi="宋体" w:eastAsia="宋体" w:cs="宋体"/>
          <w:szCs w:val="21"/>
          <w:lang w:val="zh-CN"/>
        </w:rPr>
        <w:t>副食品、烘焙材料及其他类</w:t>
      </w:r>
    </w:p>
    <w:p w14:paraId="558AE40A">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所有的副食品及烘焙材料必须符合国家卫生标准和质量要求。其中调味品质量标准如下：</w:t>
      </w:r>
    </w:p>
    <w:p w14:paraId="38908FFB">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（1）酿造酱油</w:t>
      </w:r>
    </w:p>
    <w:p w14:paraId="5CDEB01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要求特级酿造酱油，按照GB 2717-2018《食品安全国家标准 酱油》执行，以大豆或脱脂大豆、小麦或麸皮为主要原料经微生物发酵制成，氨基酸态氮含量≥0.80g/100ml。</w:t>
      </w:r>
    </w:p>
    <w:p w14:paraId="0D8ADB4E">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（2）酿造食醋</w:t>
      </w:r>
    </w:p>
    <w:p w14:paraId="2E856A3D">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要求特级酿造食醋，按照GB 2719-2018《食品安全国家标准 食醋》执行，通过粮食或水果等经酒精发酵后再醋酸发酵而成，总酸含量一般在 6.0g/100ml 以上，色泽澄清，香味浓郁，口感醇厚。</w:t>
      </w:r>
    </w:p>
    <w:p w14:paraId="69139B75">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（3）味精</w:t>
      </w:r>
    </w:p>
    <w:p w14:paraId="031F2A01">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按照《食品安全国家标准 味精》（GB 2720-2015）规定执行，味精的谷氨酸钠含量不得低于 99%，并且不允许存在有害杂质。</w:t>
      </w:r>
    </w:p>
    <w:p w14:paraId="128455E0">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（4）食用盐</w:t>
      </w:r>
    </w:p>
    <w:p w14:paraId="49310DF0">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按照《食品安全国家标准 食用盐》（GB 2721-2015）规定执行，食用盐的外观、粒度、水分、碘含量、杂质含量等指标符合标准。</w:t>
      </w:r>
    </w:p>
    <w:p w14:paraId="443D705E">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（5）鸡精调味料</w:t>
      </w:r>
    </w:p>
    <w:p w14:paraId="5E7067A2">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按照SB/T 10371-2003《鸡精调味料》执行，鸡精的感官、理化、微生物等指标，谷氨酸钠、呈味核苷酸二钠等成分的含量符合标准。</w:t>
      </w:r>
    </w:p>
    <w:p w14:paraId="789D64A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4.1.6</w:t>
      </w:r>
      <w:r>
        <w:rPr>
          <w:rFonts w:hint="eastAsia" w:ascii="宋体" w:hAnsi="宋体" w:eastAsia="宋体" w:cs="宋体"/>
          <w:szCs w:val="21"/>
          <w:lang w:val="zh-CN"/>
        </w:rPr>
        <w:t>奶制品</w:t>
      </w:r>
    </w:p>
    <w:p w14:paraId="26274E3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（1）巴氏杀菌乳：中标人提供的巴氏杀菌乳应符合GB19645-2010《食品安全国家标准巴氏杀菌乳》国家标准,要求当天鲜奶并提供全程冷链运输配送；</w:t>
      </w:r>
    </w:p>
    <w:p w14:paraId="48D7C792">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色泽：呈乳白色或微黄色；</w:t>
      </w:r>
    </w:p>
    <w:p w14:paraId="5322523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滋味、气味：具有乳固有的香味，无异味；</w:t>
      </w:r>
    </w:p>
    <w:p w14:paraId="208525C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组织状态：呈均匀一致液体，无凝块、无沉淀、无正常视力可见异物。</w:t>
      </w:r>
    </w:p>
    <w:p w14:paraId="2601AB2E">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（2）发酵乳：中标人提供的发酵乳应符合GB19302-2025《食品安全国家标准 发酵乳》国家标准。</w:t>
      </w:r>
    </w:p>
    <w:p w14:paraId="6CF7F285">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色泽：色泽均匀一致，呈乳白色或微黄色（风味发酵乳：具有添加成分相符的色泽）；</w:t>
      </w:r>
    </w:p>
    <w:p w14:paraId="7232A8A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滋味、气味：具有发酵乳特有的滋味、气味（风味发酵乳：具有添加成分相符的滋味和气味）；</w:t>
      </w:r>
    </w:p>
    <w:p w14:paraId="407A605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组织状态：组织细腻、均匀，允许有少量乳清析出；风味发酵乳具有添加成分特有的组织状态。</w:t>
      </w:r>
    </w:p>
    <w:p w14:paraId="0FA2ECBA">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）其他奶制品必须符合卫生质量要求及国家相关标准。</w:t>
      </w:r>
    </w:p>
    <w:p w14:paraId="124BE7C8">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4.1.7食用油类</w:t>
      </w:r>
    </w:p>
    <w:p w14:paraId="35D356F7">
      <w:pPr>
        <w:pStyle w:val="79"/>
        <w:spacing w:line="500" w:lineRule="exact"/>
        <w:ind w:firstLine="560"/>
        <w:rPr>
          <w:rFonts w:hint="eastAsia" w:ascii="宋体" w:hAnsi="宋体" w:eastAsia="宋体" w:cs="宋体"/>
          <w:szCs w:val="21"/>
        </w:rPr>
      </w:pPr>
      <w:r>
        <w:rPr>
          <w:rFonts w:hint="eastAsia" w:ascii="宋体" w:hAnsi="宋体" w:eastAsia="宋体" w:cs="宋体"/>
          <w:szCs w:val="21"/>
        </w:rPr>
        <w:t>大豆油质量标准按照GB/T 1535-2017（XG1-2019）《大豆油》执行，菜籽油的质量标准按照 GB/T 1536-2021（XG1-2023）《菜籽油》执行，具有大豆原油和菜籽原油固有的气味和滋味，无异味，整体澄清透明。此外，不得掺有其它食用油和非食用油，不得添加任何香精和香料，不接受转基因食用油。</w:t>
      </w:r>
    </w:p>
    <w:p w14:paraId="09F416D3">
      <w:pPr>
        <w:adjustRightInd w:val="0"/>
        <w:snapToGrid w:val="0"/>
        <w:spacing w:line="500" w:lineRule="exact"/>
        <w:ind w:firstLine="422" w:firstLineChars="200"/>
        <w:rPr>
          <w:rFonts w:hint="eastAsia" w:ascii="宋体" w:hAnsi="宋体" w:eastAsia="宋体" w:cs="宋体"/>
          <w:b/>
          <w:bCs/>
          <w:szCs w:val="21"/>
          <w:lang w:val="zh-CN"/>
        </w:rPr>
      </w:pPr>
      <w:r>
        <w:rPr>
          <w:rFonts w:hint="eastAsia" w:ascii="宋体" w:hAnsi="宋体" w:eastAsia="宋体" w:cs="宋体"/>
          <w:b/>
          <w:bCs/>
          <w:szCs w:val="21"/>
        </w:rPr>
        <w:t>4.</w:t>
      </w:r>
      <w:r>
        <w:rPr>
          <w:rFonts w:hint="eastAsia" w:ascii="宋体" w:hAnsi="宋体" w:eastAsia="宋体" w:cs="宋体"/>
          <w:b/>
          <w:bCs/>
          <w:szCs w:val="21"/>
          <w:lang w:val="zh-CN"/>
        </w:rPr>
        <w:t>2</w:t>
      </w:r>
      <w:r>
        <w:rPr>
          <w:rFonts w:hint="eastAsia" w:ascii="宋体" w:hAnsi="宋体" w:eastAsia="宋体" w:cs="宋体"/>
          <w:b/>
          <w:bCs/>
          <w:szCs w:val="21"/>
        </w:rPr>
        <w:t>.</w:t>
      </w:r>
      <w:r>
        <w:rPr>
          <w:rFonts w:hint="eastAsia" w:ascii="宋体" w:hAnsi="宋体" w:eastAsia="宋体" w:cs="宋体"/>
          <w:b/>
          <w:bCs/>
          <w:szCs w:val="21"/>
          <w:lang w:val="zh-CN"/>
        </w:rPr>
        <w:t>蔬菜、水果类：</w:t>
      </w:r>
    </w:p>
    <w:p w14:paraId="41DAE889">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4.2.1蔬菜</w:t>
      </w:r>
    </w:p>
    <w:p w14:paraId="4AD14C1C">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中标人提供的必须是新鲜蔬菜，质量必须符合国家食品卫生管理相关标准及法规要求：</w:t>
      </w:r>
    </w:p>
    <w:p w14:paraId="044854FC">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）农药残留不得超过</w:t>
      </w:r>
      <w:r>
        <w:fldChar w:fldCharType="begin"/>
      </w:r>
      <w:r>
        <w:instrText xml:space="preserve"> HYPERLINK "https://www.antpedia.com/standard/1855490175.html" </w:instrText>
      </w:r>
      <w:r>
        <w:fldChar w:fldCharType="separate"/>
      </w:r>
      <w:r>
        <w:rPr>
          <w:rFonts w:hint="eastAsia" w:ascii="宋体" w:hAnsi="宋体" w:eastAsia="宋体" w:cs="宋体"/>
          <w:szCs w:val="21"/>
          <w:lang w:val="zh-CN"/>
        </w:rPr>
        <w:t>GB 2763-2021</w:t>
      </w:r>
      <w:r>
        <w:rPr>
          <w:rFonts w:hint="eastAsia" w:ascii="宋体" w:hAnsi="宋体" w:eastAsia="宋体" w:cs="宋体"/>
          <w:szCs w:val="21"/>
          <w:lang w:val="zh-CN"/>
        </w:rPr>
        <w:fldChar w:fldCharType="end"/>
      </w:r>
      <w:r>
        <w:rPr>
          <w:rFonts w:hint="eastAsia" w:ascii="宋体" w:hAnsi="宋体" w:eastAsia="宋体" w:cs="宋体"/>
          <w:szCs w:val="21"/>
          <w:lang w:val="zh-CN"/>
        </w:rPr>
        <w:t>《食品安全国家标准 食品中农药最大残留限量》国家标准；</w:t>
      </w:r>
    </w:p>
    <w:p w14:paraId="7C175BB1">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）不得提供腐烂变质、黄叶、烂叶及带泥巴的蔬菜；</w:t>
      </w:r>
    </w:p>
    <w:p w14:paraId="12AE94D2">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）蔬菜外表不得人为喷洒水分和有过多的虫孔；</w:t>
      </w:r>
    </w:p>
    <w:p w14:paraId="0D921E81">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）不得提供过长的菜头和菜根。</w:t>
      </w:r>
    </w:p>
    <w:p w14:paraId="54536DE3">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（5）当季当地和农家有机蔬菜优先。</w:t>
      </w:r>
    </w:p>
    <w:p w14:paraId="02F5E79C">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（6）不得以无合适运输车辆等各种理由提供不新鲜的蔬菜。</w:t>
      </w:r>
    </w:p>
    <w:p w14:paraId="6E7E34CF">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4.2.2水果</w:t>
      </w:r>
    </w:p>
    <w:p w14:paraId="574C015C">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中标人提供的必须是新鲜水果，质量必须符合国家食品卫生管理相关标准及法规要求：</w:t>
      </w:r>
    </w:p>
    <w:p w14:paraId="4159DB26">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w:t>
      </w:r>
      <w:r>
        <w:rPr>
          <w:rFonts w:hint="eastAsia" w:ascii="宋体" w:hAnsi="宋体" w:eastAsia="宋体" w:cs="宋体"/>
          <w:szCs w:val="21"/>
        </w:rPr>
        <w:t>1</w:t>
      </w:r>
      <w:r>
        <w:rPr>
          <w:rFonts w:hint="eastAsia" w:ascii="宋体" w:hAnsi="宋体" w:eastAsia="宋体" w:cs="宋体"/>
          <w:szCs w:val="21"/>
          <w:lang w:val="zh-CN"/>
        </w:rPr>
        <w:t>）农药残留不得超过GB 2763-2021《食品安全国家标准 食品中农药最大残留限量》国家标准；</w:t>
      </w:r>
    </w:p>
    <w:p w14:paraId="2D047607">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w:t>
      </w:r>
      <w:r>
        <w:rPr>
          <w:rFonts w:hint="eastAsia" w:ascii="宋体" w:hAnsi="宋体" w:eastAsia="宋体" w:cs="宋体"/>
          <w:szCs w:val="21"/>
        </w:rPr>
        <w:t>2</w:t>
      </w:r>
      <w:r>
        <w:rPr>
          <w:rFonts w:hint="eastAsia" w:ascii="宋体" w:hAnsi="宋体" w:eastAsia="宋体" w:cs="宋体"/>
          <w:szCs w:val="21"/>
          <w:lang w:val="zh-CN"/>
        </w:rPr>
        <w:t xml:space="preserve">）果形端正，大小均匀，无畸形果，带果柄，果实无萎蔫； </w:t>
      </w:r>
    </w:p>
    <w:p w14:paraId="775E3B57">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w:t>
      </w:r>
      <w:r>
        <w:rPr>
          <w:rFonts w:hint="eastAsia" w:ascii="宋体" w:hAnsi="宋体" w:eastAsia="宋体" w:cs="宋体"/>
          <w:szCs w:val="21"/>
        </w:rPr>
        <w:t>3</w:t>
      </w:r>
      <w:r>
        <w:rPr>
          <w:rFonts w:hint="eastAsia" w:ascii="宋体" w:hAnsi="宋体" w:eastAsia="宋体" w:cs="宋体"/>
          <w:szCs w:val="21"/>
          <w:lang w:val="zh-CN"/>
        </w:rPr>
        <w:t>）果面新鲜洁净，无刺划伤，无压痕，无病虫害，无病斑，无腐烂；</w:t>
      </w:r>
    </w:p>
    <w:p w14:paraId="74076824">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w:t>
      </w:r>
      <w:r>
        <w:rPr>
          <w:rFonts w:hint="eastAsia" w:ascii="宋体" w:hAnsi="宋体" w:eastAsia="宋体" w:cs="宋体"/>
          <w:szCs w:val="21"/>
        </w:rPr>
        <w:t>4</w:t>
      </w:r>
      <w:r>
        <w:rPr>
          <w:rFonts w:hint="eastAsia" w:ascii="宋体" w:hAnsi="宋体" w:eastAsia="宋体" w:cs="宋体"/>
          <w:szCs w:val="21"/>
          <w:lang w:val="zh-CN"/>
        </w:rPr>
        <w:t>）口感正常，具有水果特有的风味；</w:t>
      </w:r>
    </w:p>
    <w:p w14:paraId="025B4C6F">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（5）中标人每批蔬菜、水果必须出具一份农药残留检测报告。</w:t>
      </w:r>
    </w:p>
    <w:p w14:paraId="232B05ED">
      <w:pPr>
        <w:adjustRightInd w:val="0"/>
        <w:snapToGrid w:val="0"/>
        <w:spacing w:line="500" w:lineRule="exact"/>
        <w:ind w:firstLine="422" w:firstLineChars="200"/>
        <w:rPr>
          <w:rFonts w:hint="eastAsia" w:ascii="宋体" w:hAnsi="宋体" w:eastAsia="宋体" w:cs="宋体"/>
          <w:b/>
          <w:bCs/>
          <w:szCs w:val="21"/>
          <w:lang w:val="zh-CN"/>
        </w:rPr>
      </w:pPr>
      <w:r>
        <w:rPr>
          <w:rFonts w:hint="eastAsia" w:ascii="宋体" w:hAnsi="宋体" w:eastAsia="宋体" w:cs="宋体"/>
          <w:b/>
          <w:bCs/>
          <w:szCs w:val="21"/>
        </w:rPr>
        <w:t>4.</w:t>
      </w:r>
      <w:r>
        <w:rPr>
          <w:rFonts w:hint="eastAsia" w:ascii="宋体" w:hAnsi="宋体" w:eastAsia="宋体" w:cs="宋体"/>
          <w:b/>
          <w:bCs/>
          <w:szCs w:val="21"/>
          <w:lang w:val="zh-CN"/>
        </w:rPr>
        <w:t>3</w:t>
      </w:r>
      <w:r>
        <w:rPr>
          <w:rFonts w:hint="eastAsia" w:ascii="宋体" w:hAnsi="宋体" w:eastAsia="宋体" w:cs="宋体"/>
          <w:b/>
          <w:bCs/>
          <w:szCs w:val="21"/>
        </w:rPr>
        <w:t>.</w:t>
      </w:r>
      <w:r>
        <w:rPr>
          <w:rFonts w:hint="eastAsia" w:ascii="宋体" w:hAnsi="宋体" w:eastAsia="宋体" w:cs="宋体"/>
          <w:b/>
          <w:bCs/>
          <w:szCs w:val="21"/>
          <w:lang w:val="zh-CN"/>
        </w:rPr>
        <w:t>新鲜肉类、新鲜水产品类等：</w:t>
      </w:r>
    </w:p>
    <w:p w14:paraId="6FDD1426">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猪、牛、羊、鸡、鸭等鲜肉类及其制品，海水产的鱼、虾、贝、蟹、藻、头足等鲜水货物类及其制品。</w:t>
      </w:r>
    </w:p>
    <w:p w14:paraId="35113ECE">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中标人提供的猪、牛、羊、鸡、鸭等新鲜肉类必须符合GB 2707-2016《食品安全国家标准 鲜（冻）畜、禽产品》，且要求热鲜肉，不接受冷冻肉。每批次猪、牛、羊、鸡、鸭等新鲜肉类必须提供动物货物检验检疫合格证明，且符合食品卫生相关标准及法规要求。</w:t>
      </w:r>
    </w:p>
    <w:p w14:paraId="49D1A167">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（1）猪、牛、羊等新鲜肉类:无异味、无酸败味；</w:t>
      </w:r>
    </w:p>
    <w:p w14:paraId="2D19D5FD">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（2）鸡、鸭等新鲜肉类：表皮和肌肉切面有光泽，具有禽类品种应有的气味，无异味。</w:t>
      </w:r>
    </w:p>
    <w:p w14:paraId="664D5DF6">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中标人提供的鱼、虾、贝、蟹、藻、头足等新鲜水货物类必须符合GB 2733-2015《食品安全国家标准 鲜、冻动物性水产品》国家标准，</w:t>
      </w:r>
      <w:r>
        <w:rPr>
          <w:rFonts w:hint="eastAsia" w:ascii="宋体" w:hAnsi="宋体" w:eastAsia="宋体" w:cs="宋体"/>
          <w:szCs w:val="21"/>
          <w:lang w:val="zh-CN"/>
        </w:rPr>
        <w:t>保持新鲜；</w:t>
      </w:r>
      <w:r>
        <w:rPr>
          <w:rFonts w:hint="eastAsia" w:ascii="宋体" w:hAnsi="宋体" w:eastAsia="宋体" w:cs="宋体"/>
          <w:szCs w:val="21"/>
        </w:rPr>
        <w:t>泥海螺、河海蟹、海螃蟆、河海虾、淡海水贝类必须鲜活，且符合食品卫生相关标准及法规要求。</w:t>
      </w:r>
    </w:p>
    <w:p w14:paraId="6947F90A">
      <w:pPr>
        <w:adjustRightInd w:val="0"/>
        <w:snapToGrid w:val="0"/>
        <w:spacing w:line="500" w:lineRule="exact"/>
        <w:ind w:firstLine="422" w:firstLineChars="200"/>
        <w:rPr>
          <w:rFonts w:hint="eastAsia" w:ascii="宋体" w:hAnsi="宋体" w:eastAsia="宋体" w:cs="宋体"/>
          <w:b/>
          <w:bCs/>
          <w:szCs w:val="21"/>
          <w:lang w:val="zh-CN"/>
        </w:rPr>
      </w:pPr>
      <w:r>
        <w:rPr>
          <w:rFonts w:hint="eastAsia" w:ascii="宋体" w:hAnsi="宋体" w:eastAsia="宋体" w:cs="宋体"/>
          <w:b/>
          <w:bCs/>
          <w:szCs w:val="21"/>
        </w:rPr>
        <w:t>4.</w:t>
      </w:r>
      <w:r>
        <w:rPr>
          <w:rFonts w:hint="eastAsia" w:ascii="宋体" w:hAnsi="宋体" w:eastAsia="宋体" w:cs="宋体"/>
          <w:b/>
          <w:bCs/>
          <w:szCs w:val="21"/>
          <w:lang w:val="zh-CN"/>
        </w:rPr>
        <w:t>4</w:t>
      </w:r>
      <w:r>
        <w:rPr>
          <w:rFonts w:hint="eastAsia" w:ascii="宋体" w:hAnsi="宋体" w:eastAsia="宋体" w:cs="宋体"/>
          <w:b/>
          <w:bCs/>
          <w:szCs w:val="21"/>
        </w:rPr>
        <w:t>.</w:t>
      </w:r>
      <w:r>
        <w:rPr>
          <w:rFonts w:hint="eastAsia" w:ascii="宋体" w:hAnsi="宋体" w:eastAsia="宋体" w:cs="宋体"/>
          <w:b/>
          <w:bCs/>
          <w:szCs w:val="21"/>
          <w:lang w:val="zh-CN"/>
        </w:rPr>
        <w:t>冻品、干货等：</w:t>
      </w:r>
    </w:p>
    <w:p w14:paraId="1206B0D3">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 xml:space="preserve">4.4.1 </w:t>
      </w:r>
      <w:r>
        <w:rPr>
          <w:rFonts w:hint="eastAsia" w:ascii="宋体" w:hAnsi="宋体" w:eastAsia="宋体" w:cs="宋体"/>
          <w:szCs w:val="21"/>
          <w:lang w:val="zh-CN"/>
        </w:rPr>
        <w:t>海淡水类冷冻品包含鱼、虾、贝、蟹、藻、头足等冻水货物类及其制品。中标人提供的鱼、虾、贝、蟹、藻、头足等冻水货物类必须符合GB 2733-2015《食品安全国家标准 鲜、冻动物性水产品》国家标准。泥海螺、河海蟹、海螃蟆、河海虾、淡海水贝类必须新鲜急冻，且符合食品卫生相关标准及法规要求。</w:t>
      </w:r>
    </w:p>
    <w:p w14:paraId="3FE1DAC7">
      <w:pPr>
        <w:adjustRightInd w:val="0"/>
        <w:snapToGrid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rPr>
        <w:t>4.4.2</w:t>
      </w:r>
      <w:r>
        <w:rPr>
          <w:rFonts w:hint="eastAsia" w:ascii="宋体" w:hAnsi="宋体" w:eastAsia="宋体" w:cs="宋体"/>
          <w:szCs w:val="21"/>
          <w:lang w:val="zh-CN"/>
        </w:rPr>
        <w:t>几种主要干货制品的质量标准</w:t>
      </w:r>
    </w:p>
    <w:p w14:paraId="028292F0">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（1）肉皮：作为干肉皮，无论什么部位，体表洁净无毛，白亮无残余肥膘，无虫蛀，干爽，敲击时响声清脆，质量均匀为好，反之则为次之，如已发霉，并有哈喇味，即已变质。</w:t>
      </w:r>
    </w:p>
    <w:p w14:paraId="09AAEA95">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（2）玉兰片：玉兰片以色泽黄白、洁净、肉厚、纤维少、节较密、体长不超过10-17CM的为最好，肉薄节疏、纤维多而粗老的质量较差。</w:t>
      </w:r>
    </w:p>
    <w:p w14:paraId="780235C9">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（3）黄花菜：又名金针菜，干燥、有清香味，菜色黄亮，身条长而粗壮，条杆粗细均匀者为佳。</w:t>
      </w:r>
    </w:p>
    <w:p w14:paraId="5D9A217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（4）黑木耳：黑木耳的质量一般以条形大而完整，耳瓣舒展少卷曲，内厚黑，富于光泽，体干不霉，无杂质和碎者为优，反之则差。</w:t>
      </w:r>
    </w:p>
    <w:p w14:paraId="71A26647">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5）银耳：银耳又称白木耳，以朵大、色洁白、有光泽，无杂质，根小,干度足，完整者为佳品，朵小、色黄、根大、无光泽，散碎者次之；黄黑色者质量最次，依上述标准可将银耳分为上中下三等。质量好的银耳，根部易酥烂，食之柔软，质量次则根部大而发硬。</w:t>
      </w:r>
    </w:p>
    <w:p w14:paraId="417AD752">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（6）香菇：根据采收季节和形状不同，香菇又分为花菇、厚菇、薄菇和菇丁四类，其中以花菇质量最好，厚菇次之，薄菇再次之，菇丁质量最差。</w:t>
      </w:r>
    </w:p>
    <w:p w14:paraId="78261EF4">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A、花菇：朵小柄短，呈半球状，菇伞顶面有似菊花似的白色裂纹，肉厚、菌盖色泽淡黑，菇底褶，通过加工呈淡黄色，身干、质嫩、有芳香气味者为质好香菇。</w:t>
      </w:r>
    </w:p>
    <w:p w14:paraId="4C75B98C">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B、厚菇：形状如伞，顶面无花纹，呈黑色并略有光泽，质嫩、肉厚、朵稍大，质量稍次。</w:t>
      </w:r>
    </w:p>
    <w:p w14:paraId="75D73394">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C、薄菇：形状扁平、开伞、朵大、肉薄、菌盖表面浅褐色，菌褶白色，菌柄稍高，浅咖啡色，基部稍带红色或红褐色，质量比花菇厚，味淡。</w:t>
      </w:r>
    </w:p>
    <w:p w14:paraId="3992DDCE">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D、菇丁：是指未充分发育的香菇,个小,直径在2CM以下,味淡质差。</w:t>
      </w:r>
    </w:p>
    <w:p w14:paraId="3DF9D281">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（7）腐竹：腐竹又名豆腐皮和油皮，有一、二、三级品之分。</w:t>
      </w:r>
    </w:p>
    <w:p w14:paraId="67E71E50">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一级品：色泽黄亮、干燥筋韧、耐贮、无碎块。</w:t>
      </w:r>
    </w:p>
    <w:p w14:paraId="6A05073F">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二级品：颜色较一级品灰黄，干燥无碎块。</w:t>
      </w:r>
    </w:p>
    <w:p w14:paraId="11F84F3E">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三级品：颜色更灰黄、无光泽、易碎、筋韧性差。</w:t>
      </w:r>
    </w:p>
    <w:p w14:paraId="5CE1FF5D">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（8）粉丝：质量好的粉丝，粉条细长、白净、晶莹透明、丝条均匀、整齐、干燥，不易折断，无斑点、黑迹，无霉变，有粉丝特有的光泽。</w:t>
      </w:r>
    </w:p>
    <w:p w14:paraId="2C025EF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（9）干贝：上等干贝粒大完整、黄亮干燥、肉质结饱满，肉丝清晰、粗且有特殊香气。粒小、破碎、色淡无光泽者较次。破碎、发黑发霉的为变质品。</w:t>
      </w:r>
    </w:p>
    <w:p w14:paraId="06EF99BA">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10）鱿鱼：市场上常见的鱿鱼有椭圆形和长形，选购时应注意：体干、体形完整、光亮洁净、淡粉红色、片大头小、肉厚者为优。体形部分蜷曲，尾部和背部红中透暗，两侧有微红点、体小而宽、肉薄者为次品。</w:t>
      </w:r>
    </w:p>
    <w:p w14:paraId="298E0E9F">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（11）紫菜：紫菜属海产红藻类植物，因鲜紫菜叶较宽大，经干制成长方块形，散片状卷筒，其中以卷筒形柔嫩微脆、叶薄、色紫清香鲜美的为品质最优。</w:t>
      </w:r>
    </w:p>
    <w:p w14:paraId="43EA75A2">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（12）鱼肚：其标准一般为体大整齐、肚厚、身干、光洁明亮、无虫蛀腐者好；灰暗、肉薄、体小则次之，有虫蛀、颜色发黑、变霉则为变质品。</w:t>
      </w:r>
    </w:p>
    <w:p w14:paraId="09F95C33">
      <w:pPr>
        <w:numPr>
          <w:ilvl w:val="255"/>
          <w:numId w:val="0"/>
        </w:numPr>
        <w:tabs>
          <w:tab w:val="left" w:pos="1134"/>
        </w:tabs>
        <w:adjustRightInd w:val="0"/>
        <w:spacing w:line="500" w:lineRule="exact"/>
        <w:ind w:firstLine="420" w:firstLineChars="200"/>
        <w:rPr>
          <w:rFonts w:hint="eastAsia" w:ascii="宋体" w:hAnsi="宋体" w:eastAsia="宋体" w:cs="宋体"/>
          <w:b/>
          <w:szCs w:val="21"/>
        </w:rPr>
      </w:pPr>
      <w:r>
        <w:rPr>
          <w:rFonts w:hint="eastAsia" w:ascii="宋体" w:hAnsi="宋体" w:eastAsia="宋体" w:cs="宋体"/>
          <w:szCs w:val="21"/>
        </w:rPr>
        <w:t>备注：本项目所涉及到的国家标准及行业规范，按现行有效标准及行业规执行，如遇国家有关标准及行业规调整，则按新的国家标准及行业规范执行。中标人应按照采购人选择的标准配送食材。</w:t>
      </w:r>
    </w:p>
    <w:p w14:paraId="03C34AA6">
      <w:pPr>
        <w:numPr>
          <w:ilvl w:val="255"/>
          <w:numId w:val="0"/>
        </w:numPr>
        <w:tabs>
          <w:tab w:val="left" w:pos="1134"/>
        </w:tabs>
        <w:adjustRightInd w:val="0"/>
        <w:spacing w:line="500" w:lineRule="exact"/>
        <w:ind w:firstLine="422" w:firstLineChars="200"/>
        <w:rPr>
          <w:rFonts w:hint="eastAsia" w:ascii="宋体" w:hAnsi="宋体" w:eastAsia="宋体" w:cs="宋体"/>
          <w:b/>
          <w:szCs w:val="21"/>
        </w:rPr>
      </w:pPr>
      <w:r>
        <w:rPr>
          <w:rFonts w:hint="eastAsia" w:ascii="宋体" w:hAnsi="宋体" w:eastAsia="宋体" w:cs="宋体"/>
          <w:b/>
          <w:szCs w:val="21"/>
        </w:rPr>
        <w:t>5、服务人员要求</w:t>
      </w:r>
    </w:p>
    <w:p w14:paraId="03BB14B2">
      <w:pPr>
        <w:pStyle w:val="81"/>
        <w:adjustRightInd w:val="0"/>
        <w:spacing w:line="500" w:lineRule="exact"/>
        <w:rPr>
          <w:rFonts w:hint="eastAsia" w:ascii="宋体" w:hAnsi="宋体" w:eastAsia="宋体" w:cs="宋体"/>
          <w:snapToGrid w:val="0"/>
          <w:sz w:val="21"/>
          <w:szCs w:val="21"/>
          <w:lang w:val="en-US"/>
        </w:rPr>
      </w:pPr>
      <w:r>
        <w:rPr>
          <w:rFonts w:hint="eastAsia" w:ascii="宋体" w:hAnsi="宋体" w:eastAsia="宋体" w:cs="宋体"/>
          <w:snapToGrid w:val="0"/>
          <w:sz w:val="21"/>
          <w:szCs w:val="21"/>
          <w:lang w:val="en-US"/>
        </w:rPr>
        <w:t xml:space="preserve"> 投标人拟配置于本项目的人员：</w:t>
      </w:r>
    </w:p>
    <w:p w14:paraId="523D76E9">
      <w:pPr>
        <w:adjustRightInd w:val="0"/>
        <w:spacing w:line="500" w:lineRule="exact"/>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（1）不得是涉黄、涉赌、涉毒、涉黑以及有任何的违法、违纪等不良记录。投标人中标后为采购人提供相应人员居住地或工作所在地派出所出具的无犯罪记录证明。</w:t>
      </w:r>
    </w:p>
    <w:p w14:paraId="1E3D861B">
      <w:pPr>
        <w:pStyle w:val="59"/>
        <w:spacing w:afterLines="0" w:line="500" w:lineRule="exact"/>
        <w:rPr>
          <w:rFonts w:hint="eastAsia" w:ascii="宋体" w:hAnsi="宋体" w:cs="宋体"/>
          <w:snapToGrid w:val="0"/>
          <w:sz w:val="21"/>
          <w:szCs w:val="21"/>
        </w:rPr>
      </w:pPr>
      <w:r>
        <w:rPr>
          <w:rFonts w:hint="eastAsia" w:ascii="宋体" w:hAnsi="宋体" w:cs="宋体"/>
          <w:snapToGrid w:val="0"/>
          <w:sz w:val="21"/>
          <w:szCs w:val="21"/>
        </w:rPr>
        <w:t>（2）拟配置于本项目的配送人员，中标后需向采购人提供健康证；本项目要求指定人员车辆负责配送，中标后向采购人提供配送人员有效的身份证件、健康证和车辆行驶证证件。中标人须派固定车辆和司机负责送货上门(车牌号及送货人员名单应报采购人备案），如遇人员调整应提前报采购人备案。须派固定服务对接人员，协调具体的配送事宜。</w:t>
      </w:r>
      <w:r>
        <w:rPr>
          <w:rFonts w:hint="eastAsia" w:ascii="宋体" w:hAnsi="宋体" w:cs="宋体"/>
          <w:sz w:val="21"/>
          <w:szCs w:val="21"/>
          <w:lang w:val="de-DE" w:eastAsia="de-DE"/>
        </w:rPr>
        <w:t>本项目要求</w:t>
      </w:r>
      <w:r>
        <w:rPr>
          <w:rFonts w:hint="eastAsia" w:ascii="宋体" w:hAnsi="宋体" w:cs="宋体"/>
          <w:sz w:val="21"/>
          <w:szCs w:val="21"/>
        </w:rPr>
        <w:t>配置项目负责人1人，负责整个项目的管理、统筹和协调工作；配置食品检验人员1人，负责食品的检验工作。</w:t>
      </w:r>
      <w:r>
        <w:rPr>
          <w:rFonts w:hint="eastAsia" w:ascii="宋体" w:hAnsi="宋体" w:cs="宋体"/>
          <w:snapToGrid w:val="0"/>
          <w:sz w:val="21"/>
          <w:szCs w:val="21"/>
        </w:rPr>
        <w:t>中标人负责本项目履约过程中的服务人员的安全教育、安全保障、安全责任。</w:t>
      </w:r>
    </w:p>
    <w:p w14:paraId="5FCF7442">
      <w:pPr>
        <w:pStyle w:val="59"/>
        <w:spacing w:afterLines="0" w:line="500" w:lineRule="exact"/>
        <w:ind w:firstLine="602" w:firstLineChars="0"/>
        <w:rPr>
          <w:rFonts w:hint="eastAsia" w:ascii="宋体" w:hAnsi="宋体" w:cs="宋体"/>
          <w:b/>
          <w:sz w:val="21"/>
          <w:szCs w:val="21"/>
        </w:rPr>
      </w:pPr>
      <w:r>
        <w:rPr>
          <w:rFonts w:hint="eastAsia" w:ascii="宋体" w:hAnsi="宋体" w:cs="宋体"/>
          <w:b/>
          <w:sz w:val="21"/>
          <w:szCs w:val="21"/>
        </w:rPr>
        <w:t>6、仓储要求</w:t>
      </w:r>
    </w:p>
    <w:p w14:paraId="7BF68457">
      <w:pPr>
        <w:pStyle w:val="59"/>
        <w:numPr>
          <w:ilvl w:val="255"/>
          <w:numId w:val="0"/>
        </w:numPr>
        <w:spacing w:afterLines="0" w:line="500" w:lineRule="exact"/>
        <w:ind w:firstLine="600"/>
        <w:rPr>
          <w:rFonts w:hint="eastAsia" w:ascii="仿宋_GB2312" w:hAnsi="仿宋_GB2312" w:eastAsia="仿宋_GB2312" w:cs="仿宋_GB2312"/>
          <w:snapToGrid w:val="0"/>
          <w:sz w:val="30"/>
          <w:szCs w:val="30"/>
        </w:rPr>
      </w:pPr>
      <w:r>
        <w:rPr>
          <w:rFonts w:hint="eastAsia" w:ascii="宋体" w:hAnsi="宋体" w:cs="宋体"/>
          <w:snapToGrid w:val="0"/>
          <w:sz w:val="21"/>
          <w:szCs w:val="21"/>
        </w:rPr>
        <w:t>中标人应具备专用仓储和低温仓储冷库。常温仓储库应保持温度10-25℃；干货类需保持干燥，湿度在40%-60%；低温仓储冷库冷藏库保持温度0-4℃，冷冻库保持温度-18℃。</w:t>
      </w:r>
    </w:p>
    <w:p w14:paraId="40A3805D">
      <w:pPr>
        <w:spacing w:line="440" w:lineRule="exact"/>
        <w:ind w:firstLine="422" w:firstLineChars="200"/>
        <w:outlineLvl w:val="1"/>
        <w:rPr>
          <w:rFonts w:hint="eastAsia" w:ascii="宋体" w:hAnsi="宋体" w:eastAsia="宋体" w:cs="宋体"/>
          <w:b/>
          <w:bCs/>
        </w:rPr>
      </w:pPr>
      <w:r>
        <w:rPr>
          <w:rFonts w:hint="eastAsia" w:ascii="宋体" w:hAnsi="宋体" w:eastAsia="宋体" w:cs="宋体"/>
          <w:b/>
          <w:bCs/>
        </w:rPr>
        <w:t>三、商务要求</w:t>
      </w:r>
      <w:bookmarkEnd w:id="58"/>
      <w:bookmarkEnd w:id="59"/>
    </w:p>
    <w:p w14:paraId="452F39B6">
      <w:pPr>
        <w:spacing w:line="440" w:lineRule="exact"/>
        <w:ind w:firstLine="422" w:firstLineChars="200"/>
        <w:rPr>
          <w:rFonts w:hint="eastAsia" w:ascii="宋体" w:hAnsi="宋体" w:eastAsia="宋体" w:cs="宋体"/>
          <w:szCs w:val="21"/>
          <w:u w:val="single"/>
        </w:rPr>
      </w:pPr>
      <w:bookmarkStart w:id="63" w:name="_Toc129529572"/>
      <w:r>
        <w:rPr>
          <w:rFonts w:hint="eastAsia" w:ascii="宋体" w:hAnsi="宋体" w:eastAsia="宋体" w:cs="宋体"/>
          <w:b/>
          <w:bCs/>
          <w:szCs w:val="21"/>
        </w:rPr>
        <w:t>1.服务时间：</w:t>
      </w:r>
      <w:r>
        <w:rPr>
          <w:rFonts w:hint="eastAsia" w:ascii="宋体" w:hAnsi="宋体" w:eastAsia="宋体" w:cs="宋体"/>
          <w:szCs w:val="21"/>
        </w:rPr>
        <w:t>服务期为合同生效之日起12个月。</w:t>
      </w:r>
    </w:p>
    <w:p w14:paraId="22A6D52F">
      <w:pPr>
        <w:pStyle w:val="59"/>
        <w:numPr>
          <w:ilvl w:val="255"/>
          <w:numId w:val="0"/>
        </w:numPr>
        <w:spacing w:afterLines="0" w:line="500" w:lineRule="exact"/>
        <w:ind w:firstLine="422" w:firstLineChars="200"/>
        <w:rPr>
          <w:rFonts w:hint="eastAsia" w:ascii="宋体" w:hAnsi="宋体" w:cs="宋体"/>
          <w:snapToGrid w:val="0"/>
          <w:sz w:val="21"/>
          <w:szCs w:val="21"/>
        </w:rPr>
      </w:pPr>
      <w:r>
        <w:rPr>
          <w:rFonts w:hint="eastAsia" w:ascii="宋体" w:hAnsi="宋体" w:cs="宋体"/>
          <w:b/>
          <w:bCs/>
          <w:sz w:val="21"/>
          <w:szCs w:val="21"/>
        </w:rPr>
        <w:t>2.服务地点：（1）</w:t>
      </w:r>
      <w:r>
        <w:rPr>
          <w:rFonts w:hint="eastAsia" w:ascii="宋体" w:hAnsi="宋体" w:cs="宋体"/>
          <w:snapToGrid w:val="0"/>
          <w:sz w:val="21"/>
          <w:szCs w:val="21"/>
        </w:rPr>
        <w:t>国家税务总局南平市税务局机关，地址：南平市建阳区朱熹大道379号武夷国际新城、仁安巷8号办公点，服务期内若采购人办公地点变更则配送至南平市武夷新区建阳街17号。</w:t>
      </w:r>
    </w:p>
    <w:p w14:paraId="0B7BDD8F">
      <w:pPr>
        <w:pStyle w:val="59"/>
        <w:numPr>
          <w:ilvl w:val="255"/>
          <w:numId w:val="0"/>
        </w:numPr>
        <w:spacing w:afterLines="0" w:line="500" w:lineRule="exact"/>
        <w:ind w:firstLine="420" w:firstLineChars="200"/>
        <w:rPr>
          <w:rFonts w:hint="eastAsia" w:ascii="宋体" w:hAnsi="宋体" w:cs="宋体"/>
          <w:snapToGrid w:val="0"/>
          <w:sz w:val="21"/>
          <w:szCs w:val="21"/>
        </w:rPr>
      </w:pPr>
      <w:r>
        <w:rPr>
          <w:rFonts w:hint="eastAsia" w:ascii="宋体" w:hAnsi="宋体" w:cs="宋体"/>
          <w:snapToGrid w:val="0"/>
          <w:sz w:val="21"/>
          <w:szCs w:val="21"/>
        </w:rPr>
        <w:t>（2）国家税务总局南平市税务局第三稽查局，地址：</w:t>
      </w:r>
      <w:r>
        <w:rPr>
          <w:rFonts w:hint="eastAsia" w:ascii="宋体" w:hAnsi="宋体" w:cs="宋体"/>
          <w:sz w:val="21"/>
          <w:szCs w:val="21"/>
        </w:rPr>
        <w:t>邵武市福寿中路68号。</w:t>
      </w:r>
    </w:p>
    <w:p w14:paraId="63F72E0A">
      <w:pPr>
        <w:spacing w:line="560" w:lineRule="exact"/>
        <w:ind w:firstLine="422" w:firstLineChars="200"/>
        <w:jc w:val="left"/>
        <w:rPr>
          <w:rFonts w:hint="eastAsia" w:ascii="宋体" w:hAnsi="宋体" w:eastAsia="宋体" w:cs="宋体"/>
          <w:szCs w:val="21"/>
        </w:rPr>
      </w:pPr>
      <w:r>
        <w:rPr>
          <w:rFonts w:hint="eastAsia" w:ascii="宋体" w:hAnsi="宋体" w:eastAsia="宋体" w:cs="宋体"/>
          <w:b/>
          <w:bCs/>
          <w:szCs w:val="21"/>
        </w:rPr>
        <w:t>3.付款方式：</w:t>
      </w:r>
      <w:r>
        <w:rPr>
          <w:rFonts w:hint="eastAsia" w:ascii="宋体" w:hAnsi="宋体" w:eastAsia="宋体" w:cs="宋体"/>
          <w:szCs w:val="21"/>
        </w:rPr>
        <w:t>服务费按月支付。中标人每完成一个月服务管理工作后，根据项目验收结果办理相关请款手续，并提供正式增值税发票，采购人经核对无误并满足各项付款条件内10个工作日付款。</w:t>
      </w:r>
    </w:p>
    <w:p w14:paraId="40195761">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4.违约责任</w:t>
      </w:r>
    </w:p>
    <w:p w14:paraId="3D1BA218">
      <w:pPr>
        <w:pStyle w:val="78"/>
        <w:spacing w:line="500" w:lineRule="exact"/>
        <w:ind w:firstLine="560"/>
        <w:rPr>
          <w:rFonts w:hint="eastAsia" w:ascii="宋体" w:hAnsi="宋体" w:eastAsia="宋体" w:cs="宋体"/>
          <w:szCs w:val="21"/>
        </w:rPr>
      </w:pPr>
      <w:r>
        <w:rPr>
          <w:rFonts w:hint="eastAsia" w:ascii="宋体" w:hAnsi="宋体" w:eastAsia="宋体" w:cs="宋体"/>
          <w:szCs w:val="21"/>
        </w:rPr>
        <w:t>若中标人存在下列情形之一的，均视为中标人违约,给采购人造成损失的，还需另行支付相应的赔偿并承担</w:t>
      </w:r>
      <w:bookmarkStart w:id="64" w:name="_Hlk195463644"/>
      <w:r>
        <w:rPr>
          <w:rFonts w:hint="eastAsia" w:ascii="宋体" w:hAnsi="宋体" w:eastAsia="宋体" w:cs="宋体"/>
          <w:szCs w:val="21"/>
        </w:rPr>
        <w:t>采购人因维护自身合法权利而产生的所有费用包括但不限于律师费、诉讼费、保全费、保全保险费、公告费等</w:t>
      </w:r>
      <w:bookmarkEnd w:id="64"/>
      <w:r>
        <w:rPr>
          <w:rFonts w:hint="eastAsia" w:ascii="宋体" w:hAnsi="宋体" w:eastAsia="宋体" w:cs="宋体"/>
          <w:szCs w:val="21"/>
        </w:rPr>
        <w:t>。</w:t>
      </w:r>
    </w:p>
    <w:p w14:paraId="78EC1E44">
      <w:pPr>
        <w:pStyle w:val="78"/>
        <w:spacing w:line="500" w:lineRule="exact"/>
        <w:ind w:firstLine="560"/>
        <w:rPr>
          <w:rFonts w:hint="eastAsia" w:ascii="宋体" w:hAnsi="宋体" w:eastAsia="宋体" w:cs="宋体"/>
          <w:szCs w:val="21"/>
        </w:rPr>
      </w:pPr>
      <w:r>
        <w:rPr>
          <w:rFonts w:hint="eastAsia" w:ascii="宋体" w:hAnsi="宋体" w:eastAsia="宋体" w:cs="宋体"/>
          <w:szCs w:val="21"/>
        </w:rPr>
        <w:t>中标人发生违约情形，有申辩解释的权利。若因不可抗力或有其他正当理由，中标人能提出合理的解决方案，且采购人对中标人解释的理由及处理方案表示认可的，可免予扣除部分服务费。</w:t>
      </w:r>
    </w:p>
    <w:p w14:paraId="032218EA">
      <w:pPr>
        <w:pStyle w:val="78"/>
        <w:spacing w:line="500" w:lineRule="exact"/>
        <w:ind w:firstLine="560"/>
        <w:rPr>
          <w:rFonts w:hint="eastAsia" w:ascii="宋体" w:hAnsi="宋体" w:eastAsia="宋体" w:cs="宋体"/>
          <w:szCs w:val="21"/>
        </w:rPr>
      </w:pPr>
      <w:r>
        <w:rPr>
          <w:rFonts w:hint="eastAsia" w:ascii="宋体" w:hAnsi="宋体" w:eastAsia="宋体" w:cs="宋体"/>
          <w:szCs w:val="21"/>
        </w:rPr>
        <w:t>4.1中标人未按采购人订货单要求的品种、品牌、规格、数量进行供货或未能按时供货或当日无法供货(不可抗力因素导致的除外)，导致采购人当日无法获取充足的物资的，采购人按订购的本批次相应物资价值的1.2倍要求中标人支付违约金，并有权在当期服务费中予以扣除，当月服务费不足支付违约金，中标人应当支付补足，</w:t>
      </w:r>
      <w:r>
        <w:rPr>
          <w:rFonts w:hint="eastAsia"/>
        </w:rPr>
        <w:t>一个月内累计3次及以上</w:t>
      </w:r>
      <w:r>
        <w:rPr>
          <w:rFonts w:hint="eastAsia" w:ascii="宋体" w:hAnsi="宋体" w:eastAsia="宋体" w:cs="宋体"/>
          <w:szCs w:val="21"/>
        </w:rPr>
        <w:t>的，采购人有权解除本合同。</w:t>
      </w:r>
    </w:p>
    <w:p w14:paraId="37BF472B">
      <w:pPr>
        <w:pStyle w:val="78"/>
        <w:spacing w:line="500" w:lineRule="exact"/>
        <w:ind w:firstLine="560"/>
        <w:rPr>
          <w:rFonts w:hint="eastAsia" w:ascii="宋体" w:hAnsi="宋体" w:eastAsia="宋体" w:cs="宋体"/>
          <w:szCs w:val="21"/>
        </w:rPr>
      </w:pPr>
      <w:r>
        <w:rPr>
          <w:rFonts w:hint="eastAsia" w:ascii="宋体" w:hAnsi="宋体" w:eastAsia="宋体" w:cs="宋体"/>
          <w:szCs w:val="21"/>
        </w:rPr>
        <w:t>4.2若中标人存在短斤少两（短斤少两的部分超过当日采购量的5%）、弄虚作假，以次充好的问题，或所供物资为假冒伪劣、侵犯他人知识产权、来源不明的“三无”商品，则每发现1次，采购人按订购的本批次相应物资价值的1.2倍要求中标人支付违约金，并有权在当期服务费中予以扣除，当月服务费不足支付违约金，中标人应当支付补足，</w:t>
      </w:r>
      <w:r>
        <w:rPr>
          <w:rFonts w:hint="eastAsia"/>
        </w:rPr>
        <w:t>一个月内累计3次及以上</w:t>
      </w:r>
      <w:r>
        <w:rPr>
          <w:rFonts w:hint="eastAsia" w:ascii="宋体" w:hAnsi="宋体" w:eastAsia="宋体" w:cs="宋体"/>
          <w:szCs w:val="21"/>
        </w:rPr>
        <w:t>的，采购人有权解除本合同。</w:t>
      </w:r>
    </w:p>
    <w:p w14:paraId="48DE7834">
      <w:pPr>
        <w:pStyle w:val="78"/>
        <w:spacing w:line="500" w:lineRule="exact"/>
        <w:ind w:firstLine="560"/>
        <w:rPr>
          <w:rFonts w:hint="eastAsia" w:ascii="宋体" w:hAnsi="宋体" w:eastAsia="宋体" w:cs="宋体"/>
          <w:szCs w:val="21"/>
        </w:rPr>
      </w:pPr>
      <w:r>
        <w:rPr>
          <w:rFonts w:hint="eastAsia" w:ascii="宋体" w:hAnsi="宋体" w:eastAsia="宋体" w:cs="宋体"/>
          <w:szCs w:val="21"/>
        </w:rPr>
        <w:t>4.3中标人提供的物资合格证明材料(包括但不限于物资检疫检测报告、化验单、合格证等)与本批次物资不符或存在造假时，采购人有权拒收本批次全部物资，采购人按订购的本批次相应物资价值的1.2倍要求中标人支付违约金，并有权在当期服务费中予以扣除，当月服务费不足支付违约金，中标人应当支付补足，同时采购人有权解除本合同。</w:t>
      </w:r>
    </w:p>
    <w:p w14:paraId="79DF16BD">
      <w:pPr>
        <w:pStyle w:val="78"/>
        <w:spacing w:line="500" w:lineRule="exact"/>
        <w:ind w:firstLine="560"/>
        <w:rPr>
          <w:rFonts w:hint="eastAsia" w:ascii="宋体" w:hAnsi="宋体" w:eastAsia="宋体" w:cs="宋体"/>
          <w:szCs w:val="21"/>
        </w:rPr>
      </w:pPr>
      <w:r>
        <w:rPr>
          <w:rFonts w:hint="eastAsia" w:ascii="宋体" w:hAnsi="宋体" w:eastAsia="宋体" w:cs="宋体"/>
          <w:szCs w:val="21"/>
        </w:rPr>
        <w:t>4.4中标人所供应物资的剩余保质期不得少于全部保质期的三分之二，若中标人所供的货物剩余保质期与招标文件要求不符或已过保质期或腐败变质的，采购人有权拒收不合格物资，采购人按订购的本批次相应物资价值的1.2倍要求中标人支付违约金，并有权在当期服务费中予以扣除，当月服务费不足支付违约金，中标人应当支付补足。</w:t>
      </w:r>
      <w:r>
        <w:rPr>
          <w:rFonts w:hint="eastAsia"/>
        </w:rPr>
        <w:t>一个月内累计3次及以上</w:t>
      </w:r>
      <w:r>
        <w:rPr>
          <w:rFonts w:hint="eastAsia" w:ascii="宋体" w:hAnsi="宋体" w:eastAsia="宋体" w:cs="宋体"/>
          <w:szCs w:val="21"/>
        </w:rPr>
        <w:t>的，采购人有权解除本合同。</w:t>
      </w:r>
    </w:p>
    <w:p w14:paraId="47C0331B">
      <w:pPr>
        <w:pStyle w:val="78"/>
        <w:spacing w:line="500" w:lineRule="exact"/>
        <w:ind w:firstLine="560"/>
        <w:rPr>
          <w:rFonts w:hint="eastAsia" w:ascii="宋体" w:hAnsi="宋体" w:eastAsia="宋体" w:cs="宋体"/>
          <w:szCs w:val="21"/>
        </w:rPr>
      </w:pPr>
      <w:r>
        <w:rPr>
          <w:rFonts w:hint="eastAsia" w:ascii="宋体" w:hAnsi="宋体" w:eastAsia="宋体" w:cs="宋体"/>
          <w:szCs w:val="21"/>
        </w:rPr>
        <w:t>4.5中标人必须无条件接受工商、卫生监督等部门安全工作检查小组对食品安全方面的监督管理、检查考核。若因中标人原因造成采购方人员发生食物中毒等食品卫生安全事故，经有关部门认定后，中标人应承担所有赔偿责任及赔偿采购人相关经济损失（包括但不限于医疗费、误工费、护理费等），同时采购人有权解除本合同。</w:t>
      </w:r>
    </w:p>
    <w:p w14:paraId="1449DE6E">
      <w:pPr>
        <w:pStyle w:val="78"/>
        <w:spacing w:line="500" w:lineRule="exact"/>
        <w:ind w:firstLine="560"/>
        <w:rPr>
          <w:rFonts w:hint="eastAsia" w:ascii="宋体" w:hAnsi="宋体" w:eastAsia="宋体" w:cs="宋体"/>
          <w:szCs w:val="21"/>
        </w:rPr>
      </w:pPr>
      <w:r>
        <w:rPr>
          <w:rFonts w:hint="eastAsia" w:ascii="宋体" w:hAnsi="宋体" w:eastAsia="宋体" w:cs="宋体"/>
          <w:szCs w:val="21"/>
        </w:rPr>
        <w:t>4.6采购人根据情况不定期组成抽查小组对中标人的供应食材全过程各环节进行抽查监督，包含但不限于配送食材质量、配送车辆卫生、储存环境、食材原料保存方法、配送服务人员卫生习惯、食品安全隐患等方面。抽查出现中标人不合格的情况，出现第一次至第三次由采购人按次扣除当期服务费200元，第四次至第六次由采购人按次扣除当期服务费300元，第七次以上（含第七次）视为投标人严重违约，采购人有权单方解除合同。</w:t>
      </w:r>
    </w:p>
    <w:p w14:paraId="23495332">
      <w:pPr>
        <w:pStyle w:val="78"/>
        <w:spacing w:line="500" w:lineRule="exact"/>
        <w:ind w:firstLine="560"/>
        <w:rPr>
          <w:rFonts w:hint="eastAsia" w:ascii="宋体" w:hAnsi="宋体" w:eastAsia="宋体" w:cs="宋体"/>
          <w:szCs w:val="21"/>
        </w:rPr>
      </w:pPr>
      <w:r>
        <w:rPr>
          <w:rFonts w:hint="eastAsia" w:ascii="宋体" w:hAnsi="宋体" w:eastAsia="宋体" w:cs="宋体"/>
          <w:szCs w:val="21"/>
        </w:rPr>
        <w:t>4.7采购人有权对中标人供应的货物进行定期与不定期的抽样检验，采购人对有疑义的货物有权要求双方代表到场共同提取样品送权威部门检测，抽检合格的检验费用由采购人支出，抽检不合格的即为中标人“货物质量不符合要求”,检验费用由中标人支付，采购人按订购的本批次相应物资价值的1.2倍要求中标人支付违约金，并有权在当期服务费中予以扣除，当月服务费不足支付违约金，中标人应当支付补足，</w:t>
      </w:r>
      <w:r>
        <w:rPr>
          <w:rFonts w:hint="eastAsia"/>
        </w:rPr>
        <w:t>一个月内累计3次及以上</w:t>
      </w:r>
      <w:r>
        <w:rPr>
          <w:rFonts w:hint="eastAsia" w:ascii="宋体" w:hAnsi="宋体" w:eastAsia="宋体" w:cs="宋体"/>
          <w:szCs w:val="21"/>
        </w:rPr>
        <w:t>抽检及复检不合格，采购人有权解除本合同。</w:t>
      </w:r>
    </w:p>
    <w:p w14:paraId="65EC86AA">
      <w:pPr>
        <w:pStyle w:val="78"/>
        <w:spacing w:line="500" w:lineRule="exact"/>
        <w:ind w:firstLine="560"/>
        <w:rPr>
          <w:rFonts w:hint="eastAsia" w:ascii="宋体" w:hAnsi="宋体" w:eastAsia="宋体" w:cs="宋体"/>
          <w:szCs w:val="21"/>
        </w:rPr>
      </w:pPr>
      <w:r>
        <w:rPr>
          <w:rFonts w:hint="eastAsia" w:ascii="宋体" w:hAnsi="宋体" w:eastAsia="宋体" w:cs="宋体"/>
          <w:szCs w:val="21"/>
        </w:rPr>
        <w:t>4.8中标人提供价格资料造假的，采购人有权对已购食材价格虚高部分进行核准据实结算，采购人按已购食材相应物资价值的1.2倍要求中标人支付违约金，并有权在当期服务费中予以扣除，当月服务费不足支付违约金，中标人应当支付补足。</w:t>
      </w:r>
      <w:r>
        <w:rPr>
          <w:rFonts w:hint="eastAsia"/>
        </w:rPr>
        <w:t>一个月内累计3次及以上</w:t>
      </w:r>
      <w:r>
        <w:rPr>
          <w:rFonts w:hint="eastAsia" w:ascii="宋体" w:hAnsi="宋体" w:eastAsia="宋体" w:cs="宋体"/>
          <w:szCs w:val="21"/>
        </w:rPr>
        <w:t>的，采购人有权解除本合同。</w:t>
      </w:r>
    </w:p>
    <w:p w14:paraId="6E99C7C7">
      <w:pPr>
        <w:pStyle w:val="78"/>
        <w:spacing w:line="500" w:lineRule="exact"/>
        <w:ind w:firstLine="560"/>
        <w:rPr>
          <w:rFonts w:hint="eastAsia" w:ascii="宋体" w:hAnsi="宋体" w:eastAsia="宋体" w:cs="宋体"/>
          <w:szCs w:val="21"/>
        </w:rPr>
      </w:pPr>
      <w:r>
        <w:rPr>
          <w:rFonts w:hint="eastAsia" w:ascii="宋体" w:hAnsi="宋体" w:eastAsia="宋体" w:cs="宋体"/>
          <w:szCs w:val="21"/>
        </w:rPr>
        <w:t>4.9中标人在送货途中运输、保管所产生的费用由中标人承担。若交接前货物发生损毁的、其他原因造成财产损失的，其损失由中标人自行承担。</w:t>
      </w:r>
    </w:p>
    <w:p w14:paraId="2EB23AEB">
      <w:pPr>
        <w:pStyle w:val="78"/>
        <w:spacing w:line="500" w:lineRule="exact"/>
        <w:ind w:firstLine="560"/>
        <w:rPr>
          <w:rFonts w:hint="eastAsia" w:ascii="宋体" w:hAnsi="宋体" w:eastAsia="宋体" w:cs="宋体"/>
          <w:szCs w:val="21"/>
        </w:rPr>
      </w:pPr>
      <w:r>
        <w:rPr>
          <w:rFonts w:hint="eastAsia" w:ascii="宋体" w:hAnsi="宋体" w:eastAsia="宋体" w:cs="宋体"/>
          <w:szCs w:val="21"/>
        </w:rPr>
        <w:t>4.10若因中标人原因，导致采购人同任何第三方发生法律纠纷的，包括但不限于人身权纠纷、知识产权纠纷、物权纠纷等，则由此产生的法律责任及赔偿责任均由中标人承担，与采购人无关。</w:t>
      </w:r>
    </w:p>
    <w:p w14:paraId="1011BD9F">
      <w:pPr>
        <w:pStyle w:val="78"/>
        <w:spacing w:line="500" w:lineRule="exact"/>
        <w:ind w:firstLine="560"/>
        <w:rPr>
          <w:rFonts w:hint="eastAsia" w:ascii="宋体" w:hAnsi="宋体" w:eastAsia="宋体" w:cs="宋体"/>
          <w:szCs w:val="21"/>
        </w:rPr>
      </w:pPr>
      <w:r>
        <w:rPr>
          <w:rFonts w:hint="eastAsia" w:ascii="宋体" w:hAnsi="宋体" w:eastAsia="宋体" w:cs="宋体"/>
          <w:szCs w:val="21"/>
        </w:rPr>
        <w:t>4.11如因中标人违约被解除合同，应赔偿采购人相关经济损失，同时要承担相关法律责任。</w:t>
      </w:r>
    </w:p>
    <w:p w14:paraId="14872162">
      <w:pPr>
        <w:pStyle w:val="78"/>
        <w:spacing w:line="500" w:lineRule="exact"/>
        <w:ind w:firstLine="420" w:firstLineChars="200"/>
        <w:rPr>
          <w:rFonts w:hint="eastAsia" w:ascii="宋体" w:hAnsi="宋体" w:eastAsia="宋体" w:cs="宋体"/>
          <w:szCs w:val="21"/>
          <w:lang w:bidi="ar"/>
        </w:rPr>
      </w:pPr>
      <w:r>
        <w:rPr>
          <w:rFonts w:hint="eastAsia" w:ascii="宋体" w:hAnsi="宋体" w:eastAsia="宋体" w:cs="宋体"/>
          <w:szCs w:val="21"/>
        </w:rPr>
        <w:t>4.12其它要求：本项目不允许中标人以任何名义和理由进行转包，如有发现，采购人有权单方解除合同，视为中标人违约，中标人需另行支付相应的赔偿。本采购文件未明确的其它约定事项或条款，待采购人与中标人签订合同时，由双方协商订立。</w:t>
      </w:r>
    </w:p>
    <w:p w14:paraId="38C220BC">
      <w:pPr>
        <w:pStyle w:val="60"/>
        <w:spacing w:line="500" w:lineRule="exact"/>
        <w:ind w:firstLine="422"/>
        <w:rPr>
          <w:rFonts w:hint="eastAsia" w:ascii="宋体" w:hAnsi="宋体" w:cs="宋体"/>
          <w:b/>
          <w:bCs/>
          <w:szCs w:val="21"/>
          <w:lang w:val="en"/>
        </w:rPr>
      </w:pPr>
      <w:r>
        <w:rPr>
          <w:rFonts w:hint="eastAsia" w:ascii="宋体" w:hAnsi="宋体" w:cs="宋体"/>
          <w:b/>
          <w:bCs/>
          <w:szCs w:val="21"/>
        </w:rPr>
        <w:t>5.</w:t>
      </w:r>
      <w:r>
        <w:rPr>
          <w:rFonts w:hint="eastAsia" w:ascii="宋体" w:hAnsi="宋体" w:cs="宋体"/>
          <w:b/>
          <w:bCs/>
          <w:szCs w:val="21"/>
          <w:lang w:val="en"/>
        </w:rPr>
        <w:t>验收要求：</w:t>
      </w:r>
    </w:p>
    <w:p w14:paraId="66CECDE2">
      <w:pPr>
        <w:pStyle w:val="9"/>
        <w:widowControl w:val="0"/>
        <w:adjustRightInd w:val="0"/>
        <w:spacing w:beforeAutospacing="0" w:afterAutospacing="0" w:line="500" w:lineRule="exact"/>
        <w:ind w:firstLine="422" w:firstLineChars="200"/>
        <w:jc w:val="both"/>
        <w:outlineLvl w:val="2"/>
        <w:rPr>
          <w:rFonts w:hint="eastAsia"/>
          <w:b/>
          <w:bCs/>
          <w:kern w:val="2"/>
          <w:sz w:val="21"/>
          <w:szCs w:val="21"/>
        </w:rPr>
      </w:pPr>
      <w:r>
        <w:rPr>
          <w:rFonts w:hint="eastAsia"/>
          <w:b/>
          <w:bCs/>
          <w:kern w:val="2"/>
          <w:sz w:val="21"/>
          <w:szCs w:val="21"/>
        </w:rPr>
        <w:t>5.1.验收要求及售后服务</w:t>
      </w:r>
    </w:p>
    <w:p w14:paraId="0534A63D">
      <w:pPr>
        <w:pStyle w:val="9"/>
        <w:widowControl w:val="0"/>
        <w:adjustRightInd w:val="0"/>
        <w:spacing w:beforeAutospacing="0" w:afterAutospacing="0" w:line="500" w:lineRule="exact"/>
        <w:ind w:firstLine="420" w:firstLineChars="200"/>
        <w:jc w:val="both"/>
        <w:outlineLvl w:val="2"/>
        <w:rPr>
          <w:rFonts w:hint="eastAsia"/>
          <w:kern w:val="2"/>
          <w:sz w:val="21"/>
          <w:szCs w:val="21"/>
        </w:rPr>
      </w:pPr>
      <w:r>
        <w:rPr>
          <w:rFonts w:hint="eastAsia"/>
          <w:kern w:val="2"/>
          <w:sz w:val="21"/>
          <w:szCs w:val="21"/>
        </w:rPr>
        <w:t>5.1.1.中标人应按采购人订单规定的品种及要求供应所需货物，货物短缺时须在采购人规定时间内调配补齐所缺品种。若要更换品种须经采购人同意后方可更换。</w:t>
      </w:r>
    </w:p>
    <w:p w14:paraId="2326C06F">
      <w:pPr>
        <w:tabs>
          <w:tab w:val="left" w:pos="1134"/>
        </w:tabs>
        <w:adjustRightInd w:val="0"/>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5.1.2.采购人有权对不符合质量要求的货物予以退货或要求换货，采购人要求换货或补货的，应由中标人重新供货直至合格，有关供货再行验收，以及给</w:t>
      </w:r>
      <w:r>
        <w:rPr>
          <w:rFonts w:hint="eastAsia" w:ascii="宋体" w:hAnsi="宋体" w:eastAsia="宋体" w:cs="宋体"/>
          <w:szCs w:val="21"/>
        </w:rPr>
        <w:t>采购人</w:t>
      </w:r>
      <w:r>
        <w:rPr>
          <w:rFonts w:hint="eastAsia" w:ascii="宋体" w:hAnsi="宋体" w:eastAsia="宋体" w:cs="宋体"/>
          <w:bCs/>
          <w:szCs w:val="21"/>
        </w:rPr>
        <w:t>造成的损失等费用由中标人承担。连续两次项目验收不合格的，</w:t>
      </w:r>
      <w:r>
        <w:rPr>
          <w:rFonts w:hint="eastAsia" w:ascii="宋体" w:hAnsi="宋体" w:eastAsia="宋体" w:cs="宋体"/>
          <w:szCs w:val="21"/>
        </w:rPr>
        <w:t>采购人</w:t>
      </w:r>
      <w:r>
        <w:rPr>
          <w:rFonts w:hint="eastAsia" w:ascii="宋体" w:hAnsi="宋体" w:eastAsia="宋体" w:cs="宋体"/>
          <w:bCs/>
          <w:szCs w:val="21"/>
        </w:rPr>
        <w:t>可解除合同，并重新开展采购活动，由此带来的一切损失由中标人承担。</w:t>
      </w:r>
    </w:p>
    <w:p w14:paraId="3A8C35A7">
      <w:pPr>
        <w:pStyle w:val="38"/>
        <w:spacing w:line="500" w:lineRule="exact"/>
        <w:ind w:firstLine="420" w:firstLineChars="200"/>
        <w:rPr>
          <w:rFonts w:hint="eastAsia" w:ascii="宋体" w:hAnsi="宋体" w:eastAsia="宋体" w:cs="宋体"/>
          <w:szCs w:val="21"/>
        </w:rPr>
      </w:pPr>
      <w:r>
        <w:rPr>
          <w:rFonts w:hint="eastAsia" w:ascii="宋体" w:hAnsi="宋体" w:eastAsia="宋体" w:cs="宋体"/>
          <w:kern w:val="2"/>
          <w:szCs w:val="21"/>
        </w:rPr>
        <w:t>5.1.3.货物送至采购人指定交货地点后，中标人应安排专人在采购人指定地点配合称重及验收，由采购人对货物进行验收并签字确认。</w:t>
      </w:r>
    </w:p>
    <w:p w14:paraId="048FA5F2">
      <w:pPr>
        <w:pStyle w:val="38"/>
        <w:spacing w:line="500" w:lineRule="exact"/>
        <w:ind w:firstLine="420" w:firstLineChars="200"/>
        <w:rPr>
          <w:rFonts w:hint="eastAsia" w:ascii="宋体" w:hAnsi="宋体" w:eastAsia="宋体" w:cs="宋体"/>
          <w:szCs w:val="21"/>
        </w:rPr>
      </w:pPr>
      <w:r>
        <w:rPr>
          <w:rFonts w:hint="eastAsia" w:ascii="宋体" w:hAnsi="宋体" w:eastAsia="宋体" w:cs="宋体"/>
          <w:kern w:val="2"/>
          <w:szCs w:val="21"/>
        </w:rPr>
        <w:t>5.1.4.质量要求：中标人必须按照合同质量要求提供货物，不得短斤少两、以次充好，每批次肉类、家禽类须提供当天或本批次政府市场检疫检测部门出具的检疫合格证明原件或复印件；乳制品、饮料要本批次的检测证明；果蔬需提供农药残留化验单等证明材料；进口冷链商品须提供“四证”：海关报关单、海关检验检疫合格证、消毒证；冻品应在化冰环境要求下，发现质量问题中标人核实后应予退货。</w:t>
      </w:r>
    </w:p>
    <w:p w14:paraId="4A72DEA1">
      <w:pPr>
        <w:pStyle w:val="38"/>
        <w:spacing w:line="500" w:lineRule="exact"/>
        <w:ind w:firstLine="420" w:firstLineChars="200"/>
        <w:rPr>
          <w:rFonts w:hint="eastAsia" w:ascii="宋体" w:hAnsi="宋体" w:eastAsia="宋体" w:cs="宋体"/>
          <w:kern w:val="2"/>
          <w:szCs w:val="21"/>
        </w:rPr>
      </w:pPr>
      <w:r>
        <w:rPr>
          <w:rFonts w:hint="eastAsia" w:ascii="宋体" w:hAnsi="宋体" w:eastAsia="宋体" w:cs="宋体"/>
          <w:kern w:val="2"/>
          <w:szCs w:val="21"/>
        </w:rPr>
        <w:t>5.1.5.数量、重量要求：货物重量若有标准件按标准件抽样称重，并按抽样重量计算，没有标准件按实际过磅重量计算；中标人供货的过磅货物数量不低于或高于订单采购货物的5%，超出采购数量部分不予结算，缺少部分中标人须于货物到达采购人指定地点1小时之内按订单的所列数量补齐。</w:t>
      </w:r>
    </w:p>
    <w:p w14:paraId="2D0BBC62">
      <w:pPr>
        <w:pStyle w:val="38"/>
        <w:spacing w:line="500" w:lineRule="exact"/>
        <w:ind w:firstLine="420" w:firstLineChars="200"/>
        <w:rPr>
          <w:rFonts w:hint="eastAsia" w:ascii="宋体" w:hAnsi="宋体" w:eastAsia="宋体" w:cs="宋体"/>
          <w:kern w:val="2"/>
          <w:szCs w:val="21"/>
        </w:rPr>
      </w:pPr>
      <w:r>
        <w:rPr>
          <w:rFonts w:hint="eastAsia" w:ascii="宋体" w:hAnsi="宋体" w:eastAsia="宋体" w:cs="宋体"/>
          <w:kern w:val="2"/>
          <w:szCs w:val="21"/>
        </w:rPr>
        <w:t>5.1.6.退换货要求：中标人所送货物与采购人订单或合同要求不符时或货物送达之前被损坏，经双方确认后中标人须接受免费提供包换、包退服务，并应在接到采购人通知后30分钟之内，将换货货物送至采购人指定地点替换原有不符或被损坏的货物。</w:t>
      </w:r>
    </w:p>
    <w:p w14:paraId="37E01857">
      <w:pPr>
        <w:pStyle w:val="38"/>
        <w:spacing w:line="500" w:lineRule="exact"/>
        <w:ind w:firstLine="420" w:firstLineChars="200"/>
        <w:rPr>
          <w:rFonts w:hint="eastAsia" w:ascii="宋体" w:hAnsi="宋体" w:eastAsia="宋体" w:cs="宋体"/>
          <w:kern w:val="2"/>
          <w:szCs w:val="21"/>
        </w:rPr>
      </w:pPr>
      <w:r>
        <w:rPr>
          <w:rFonts w:hint="eastAsia" w:ascii="宋体" w:hAnsi="宋体" w:eastAsia="宋体" w:cs="宋体"/>
          <w:kern w:val="2"/>
          <w:szCs w:val="21"/>
        </w:rPr>
        <w:t>5.1.7.应急保障要求：中标人应提供自然灾害、公共卫生事件、停水、停电、防疫等情况下供应物资应急预备方案。</w:t>
      </w:r>
    </w:p>
    <w:p w14:paraId="12351C04">
      <w:pPr>
        <w:adjustRightIn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5.1.8.中标人应及时接受采购人的意见及时进行整改，遵守采购人管理的有关规定。满足采购人的需求。</w:t>
      </w:r>
    </w:p>
    <w:p w14:paraId="6871062C">
      <w:pPr>
        <w:adjustRightInd w:val="0"/>
        <w:spacing w:line="500" w:lineRule="exact"/>
        <w:ind w:firstLine="420" w:firstLineChars="200"/>
        <w:rPr>
          <w:rFonts w:hint="eastAsia" w:ascii="宋体" w:hAnsi="宋体" w:eastAsia="宋体" w:cs="宋体"/>
          <w:szCs w:val="21"/>
        </w:rPr>
      </w:pPr>
      <w:r>
        <w:rPr>
          <w:rFonts w:hint="eastAsia" w:ascii="宋体" w:hAnsi="宋体" w:eastAsia="宋体" w:cs="宋体"/>
          <w:bCs/>
          <w:szCs w:val="21"/>
        </w:rPr>
        <w:t>5.1.9.抽查发现食品安全质量问题的处理：</w:t>
      </w:r>
    </w:p>
    <w:p w14:paraId="42B31FC0">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（1）对危及人身安全的食品质量问题采取零容忍措施，一经发现，当日所送同批次产品全部退货，如水产品中发现河豚鱼或发现腐败变质肉类等，投标人承担由此造成的经济损失，采购人有权追究投标人责任。 </w:t>
      </w:r>
    </w:p>
    <w:p w14:paraId="7A6CE2A5">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（2）若抽查未发现问题，而在加工食用前发现部分产品质量问题，采购人有权将问题产品退回中标人作退货处理。 </w:t>
      </w:r>
    </w:p>
    <w:p w14:paraId="3937CF8F">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（3）抽查发现资质证照不全问题的处理： </w:t>
      </w:r>
    </w:p>
    <w:p w14:paraId="1CBAC91A">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畜禽冻肉类整批产品无政府部门出具的动植物检疫合格证明的全部退货； </w:t>
      </w:r>
    </w:p>
    <w:p w14:paraId="6203FC7F">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发现部分畜禽冻肉类产品无政府部门出具的动植物检疫合格证明，全部退货； </w:t>
      </w:r>
    </w:p>
    <w:p w14:paraId="5F32B229">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整批产品有地市级以上监管部门出具的动植物检疫合格证明，随箱产品合格证不齐全的，全部退货； </w:t>
      </w:r>
    </w:p>
    <w:p w14:paraId="6B31352D">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（4）发现私宰肉或伪造相关证明文件的处理：采购人有权解除合同，并保留进一步追究责任的权利。 </w:t>
      </w:r>
    </w:p>
    <w:p w14:paraId="7300918F">
      <w:pPr>
        <w:pStyle w:val="82"/>
        <w:tabs>
          <w:tab w:val="left" w:pos="1946"/>
        </w:tabs>
        <w:adjustRightInd w:val="0"/>
        <w:spacing w:line="500" w:lineRule="exact"/>
        <w:ind w:firstLineChars="200"/>
        <w:rPr>
          <w:rFonts w:hint="eastAsia" w:ascii="宋体" w:hAnsi="宋体" w:eastAsia="宋体" w:cs="宋体"/>
          <w:bCs/>
          <w:szCs w:val="21"/>
        </w:rPr>
      </w:pPr>
      <w:r>
        <w:rPr>
          <w:rFonts w:hint="eastAsia" w:ascii="宋体" w:hAnsi="宋体" w:eastAsia="宋体" w:cs="宋体"/>
          <w:bCs/>
          <w:szCs w:val="21"/>
        </w:rPr>
        <w:t>5.1.10.退（补）货流程：</w:t>
      </w:r>
    </w:p>
    <w:p w14:paraId="5AA25A10">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 xml:space="preserve">对不符合质量要求的货物由采购人使用单位验收人员提出清退，如双方对质量或重量有争议的可送具有检验资质的部门检测，同时留样备检，对数量不足或部分退货的，责投标人以不影响肉类供应为前提尽快补送。在退货过程中，对有碍公共卫生安全的食品，应按国家有关规定处理或进行协议销毁，不退货给投标人。 </w:t>
      </w:r>
    </w:p>
    <w:p w14:paraId="1452D57B">
      <w:pPr>
        <w:pStyle w:val="82"/>
        <w:tabs>
          <w:tab w:val="left" w:pos="1946"/>
        </w:tabs>
        <w:adjustRightInd w:val="0"/>
        <w:spacing w:line="500" w:lineRule="exact"/>
        <w:ind w:firstLineChars="200"/>
        <w:rPr>
          <w:rFonts w:hint="eastAsia" w:ascii="宋体" w:hAnsi="宋体" w:eastAsia="宋体" w:cs="宋体"/>
          <w:bCs/>
          <w:szCs w:val="21"/>
        </w:rPr>
      </w:pPr>
      <w:r>
        <w:rPr>
          <w:rFonts w:hint="eastAsia" w:ascii="宋体" w:hAnsi="宋体" w:eastAsia="宋体" w:cs="宋体"/>
          <w:bCs/>
          <w:szCs w:val="21"/>
        </w:rPr>
        <w:t>5.1.11.验收记录：</w:t>
      </w:r>
    </w:p>
    <w:p w14:paraId="45363F58">
      <w:pPr>
        <w:pStyle w:val="82"/>
        <w:tabs>
          <w:tab w:val="left" w:pos="1946"/>
        </w:tabs>
        <w:adjustRightInd w:val="0"/>
        <w:spacing w:line="500" w:lineRule="exact"/>
        <w:ind w:firstLineChars="200"/>
        <w:rPr>
          <w:rFonts w:hint="eastAsia" w:ascii="宋体" w:hAnsi="宋体" w:eastAsia="宋体" w:cs="宋体"/>
          <w:szCs w:val="21"/>
        </w:rPr>
      </w:pPr>
      <w:r>
        <w:rPr>
          <w:rFonts w:hint="eastAsia" w:ascii="宋体" w:hAnsi="宋体" w:eastAsia="宋体" w:cs="宋体"/>
          <w:szCs w:val="21"/>
        </w:rPr>
        <w:t>对每次验收的货物均记录货物名称、数量、验收情况等事项，并由送货人签名确认。</w:t>
      </w:r>
    </w:p>
    <w:p w14:paraId="4302E68F">
      <w:pPr>
        <w:pStyle w:val="38"/>
        <w:spacing w:line="500" w:lineRule="exact"/>
        <w:ind w:firstLine="422" w:firstLineChars="200"/>
        <w:rPr>
          <w:rFonts w:hint="eastAsia" w:ascii="宋体" w:hAnsi="宋体" w:eastAsia="宋体" w:cs="宋体"/>
          <w:b/>
          <w:bCs/>
          <w:szCs w:val="21"/>
        </w:rPr>
      </w:pPr>
      <w:r>
        <w:rPr>
          <w:rFonts w:hint="eastAsia" w:ascii="宋体" w:hAnsi="宋体" w:eastAsia="宋体" w:cs="宋体"/>
          <w:b/>
          <w:bCs/>
          <w:szCs w:val="21"/>
        </w:rPr>
        <w:t>5.2.质量异议处理</w:t>
      </w:r>
    </w:p>
    <w:p w14:paraId="73ED90DB">
      <w:pPr>
        <w:pStyle w:val="38"/>
        <w:spacing w:line="500" w:lineRule="exact"/>
        <w:ind w:firstLine="420" w:firstLineChars="200"/>
        <w:rPr>
          <w:rFonts w:hint="eastAsia" w:ascii="宋体" w:hAnsi="宋体" w:eastAsia="宋体" w:cs="宋体"/>
          <w:szCs w:val="21"/>
        </w:rPr>
      </w:pPr>
      <w:r>
        <w:rPr>
          <w:rFonts w:hint="eastAsia" w:ascii="宋体" w:hAnsi="宋体" w:eastAsia="宋体" w:cs="宋体"/>
          <w:szCs w:val="21"/>
        </w:rPr>
        <w:t>采购人的人员认定中标人所送货物与采购人订单或合同要求不符时或货物送达之前被损坏，有权要求中标人退货或换货并给予中标人口头整改通知，若中标人有异议，应于接到采购人通知后1小时内回复采购人并协商处理方式，否则将视为中标人对不符合质量要求无异议，中标人应于合同约定时间内退货或换货。</w:t>
      </w:r>
    </w:p>
    <w:p w14:paraId="352EC88E">
      <w:pPr>
        <w:spacing w:line="440" w:lineRule="exact"/>
        <w:ind w:firstLine="420" w:firstLineChars="200"/>
        <w:rPr>
          <w:rFonts w:hint="eastAsia" w:ascii="宋体" w:hAnsi="宋体" w:eastAsia="宋体" w:cs="宋体"/>
          <w:szCs w:val="21"/>
        </w:rPr>
      </w:pPr>
    </w:p>
    <w:p w14:paraId="2ECBF47D">
      <w:pPr>
        <w:spacing w:line="440" w:lineRule="exact"/>
        <w:ind w:firstLine="422" w:firstLineChars="200"/>
        <w:rPr>
          <w:rFonts w:hint="eastAsia" w:ascii="宋体" w:hAnsi="宋体" w:eastAsia="宋体" w:cs="宋体"/>
          <w:b/>
          <w:bCs/>
        </w:rPr>
      </w:pPr>
      <w:r>
        <w:rPr>
          <w:rFonts w:hint="eastAsia" w:ascii="宋体" w:hAnsi="宋体" w:eastAsia="宋体" w:cs="宋体"/>
          <w:b/>
          <w:bCs/>
        </w:rPr>
        <w:t>四、其他事项</w:t>
      </w:r>
      <w:bookmarkEnd w:id="63"/>
    </w:p>
    <w:p w14:paraId="606A4ED8">
      <w:pPr>
        <w:spacing w:line="440" w:lineRule="exact"/>
        <w:ind w:firstLine="420" w:firstLineChars="200"/>
        <w:rPr>
          <w:rFonts w:hint="eastAsia"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14:paraId="77229597">
      <w:pPr>
        <w:spacing w:line="440" w:lineRule="exact"/>
        <w:ind w:firstLine="420" w:firstLineChars="200"/>
        <w:jc w:val="left"/>
        <w:rPr>
          <w:rFonts w:hint="eastAsia" w:ascii="宋体" w:hAnsi="宋体" w:eastAsia="宋体" w:cs="宋体"/>
          <w:lang w:val="en" w:eastAsia="de-DE"/>
        </w:rPr>
      </w:pPr>
      <w:r>
        <w:rPr>
          <w:rFonts w:hint="eastAsia" w:ascii="宋体" w:hAnsi="宋体" w:eastAsia="宋体" w:cs="宋体"/>
        </w:rPr>
        <w:t>2.</w:t>
      </w:r>
      <w:r>
        <w:rPr>
          <w:rFonts w:hint="eastAsia" w:ascii="宋体" w:hAnsi="宋体" w:eastAsia="宋体" w:cs="宋体"/>
          <w:lang w:val="en" w:eastAsia="de-DE"/>
        </w:rPr>
        <w:t>投标人须按合同包投标，不得仅对合同包中的部分内容进行投标，否则其投标将被拒绝。评标与授标以合同包为单位。</w:t>
      </w:r>
    </w:p>
    <w:p w14:paraId="39B173E2">
      <w:pPr>
        <w:spacing w:line="440" w:lineRule="exact"/>
        <w:ind w:firstLine="420" w:firstLineChars="20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 w:eastAsia="de-DE"/>
        </w:rPr>
        <w:t>.招标文件未明确的其它约定事项或条款，待采购人与中标人签订合同时，由双方协商订立。</w:t>
      </w:r>
    </w:p>
    <w:p w14:paraId="2F5334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C880">
    <w:pPr>
      <w:jc w:val="center"/>
      <w:rPr>
        <w:rFonts w:hint="eastAsia"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AB9DD5">
                          <w:pPr>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4bE8gBAACZ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JeGxPIAQAAmQMAAA4AAAAAAAAAAQAgAAAAHgEAAGRycy9lMm9Eb2Mu&#10;eG1sUEsFBgAAAAAGAAYAWQEAAFgFAAAAAA==&#10;">
              <v:fill on="f" focussize="0,0"/>
              <v:stroke on="f"/>
              <v:imagedata o:title=""/>
              <o:lock v:ext="edit" aspectratio="f"/>
              <v:textbox inset="0mm,0mm,0mm,0mm" style="mso-fit-shape-to-text:t;">
                <w:txbxContent>
                  <w:p w14:paraId="52AB9DD5">
                    <w:pPr>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3C43">
    <w:pPr>
      <w:jc w:val="center"/>
      <w:rPr>
        <w:rFonts w:hint="eastAsia"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4F85F">
                          <w:pPr>
                            <w:jc w:val="center"/>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6vQMoBAACaAwAADgAAAAAAAAABACAAAAAeAQAAZHJzL2Uyb0Rv&#10;Yy54bWxQSwUGAAAAAAYABgBZAQAAWgUAAAAA&#10;">
              <v:fill on="f" focussize="0,0"/>
              <v:stroke on="f"/>
              <v:imagedata o:title=""/>
              <o:lock v:ext="edit" aspectratio="f"/>
              <v:textbox inset="0mm,0mm,0mm,0mm" style="mso-fit-shape-to-text:t;">
                <w:txbxContent>
                  <w:p w14:paraId="1AD4F85F">
                    <w:pPr>
                      <w:jc w:val="center"/>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61A54">
    <w:pPr>
      <w:pStyle w:val="20"/>
      <w:framePr w:wrap="around" w:vAnchor="text" w:hAnchor="margin" w:xAlign="center" w:y="1"/>
      <w:rPr>
        <w:rStyle w:val="33"/>
      </w:rPr>
    </w:pPr>
    <w:r>
      <w:fldChar w:fldCharType="begin"/>
    </w:r>
    <w:r>
      <w:rPr>
        <w:rStyle w:val="33"/>
      </w:rPr>
      <w:instrText xml:space="preserve">PAGE  </w:instrText>
    </w:r>
    <w:r>
      <w:fldChar w:fldCharType="end"/>
    </w:r>
  </w:p>
  <w:p w14:paraId="46990219">
    <w:pPr>
      <w:pStyle w:val="20"/>
    </w:pPr>
  </w:p>
  <w:p w14:paraId="1B418E09"/>
  <w:p w14:paraId="7D356D69"/>
  <w:p w14:paraId="369F655A"/>
  <w:p w14:paraId="1588BED1"/>
  <w:p w14:paraId="7209285C"/>
  <w:p w14:paraId="19AFA4BA"/>
  <w:p w14:paraId="7A21FFDA"/>
  <w:p w14:paraId="06C11C10"/>
  <w:p w14:paraId="7E400472"/>
  <w:p w14:paraId="5ACDFB31"/>
  <w:p w14:paraId="5F080928"/>
  <w:p w14:paraId="4A5ADF3E"/>
  <w:p w14:paraId="75CED117"/>
  <w:p w14:paraId="240BFFD7"/>
  <w:p w14:paraId="1CFC8669"/>
  <w:p w14:paraId="76EBFE2B"/>
  <w:p w14:paraId="620C3647"/>
  <w:p w14:paraId="18D0AB98"/>
  <w:p w14:paraId="51C21725"/>
  <w:p w14:paraId="79315521"/>
  <w:p w14:paraId="3F13D81B"/>
  <w:p w14:paraId="350D72B8"/>
  <w:p w14:paraId="7E1D1A48"/>
  <w:p w14:paraId="41630DE8"/>
  <w:p w14:paraId="6D9884AF"/>
  <w:p w14:paraId="409B8AD7"/>
  <w:p w14:paraId="47EFCCA1"/>
  <w:p w14:paraId="35AF4CA7"/>
  <w:p w14:paraId="4B65EDEF"/>
  <w:p w14:paraId="3047F329"/>
  <w:p w14:paraId="69AFB5F5"/>
  <w:p w14:paraId="5A914A36"/>
  <w:p w14:paraId="50EE370E"/>
  <w:p w14:paraId="6B3934D2"/>
  <w:p w14:paraId="4053BF9B"/>
  <w:p w14:paraId="4B298082"/>
  <w:p w14:paraId="2BA7D9D4"/>
  <w:p w14:paraId="764DF446"/>
  <w:p w14:paraId="2D9EA47F"/>
  <w:p w14:paraId="3FCA7C3E"/>
  <w:p w14:paraId="195DB335"/>
  <w:p w14:paraId="74257DF6"/>
  <w:p w14:paraId="6F2D86EE"/>
  <w:p w14:paraId="1B5D8569"/>
  <w:p w14:paraId="42AC7274"/>
  <w:p w14:paraId="3720F7F9"/>
  <w:p w14:paraId="62AC7BE9"/>
  <w:p w14:paraId="4684F11F"/>
  <w:p w14:paraId="08C77C68"/>
  <w:p w14:paraId="76676107"/>
  <w:p w14:paraId="60258222"/>
  <w:p w14:paraId="520CE035"/>
  <w:p w14:paraId="534E3E8B"/>
  <w:p w14:paraId="0574C2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49C1">
    <w:pPr>
      <w:jc w:val="center"/>
      <w:rPr>
        <w:rFonts w:hint="eastAsia"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AF315">
                          <w:pPr>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1qkc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NapHIAQAAmgMAAA4AAAAAAAAAAQAgAAAAHgEAAGRycy9lMm9Eb2Mu&#10;eG1sUEsFBgAAAAAGAAYAWQEAAFgFAAAAAA==&#10;">
              <v:fill on="f" focussize="0,0"/>
              <v:stroke on="f"/>
              <v:imagedata o:title=""/>
              <o:lock v:ext="edit" aspectratio="f"/>
              <v:textbox inset="0mm,0mm,0mm,0mm" style="mso-fit-shape-to-text:t;">
                <w:txbxContent>
                  <w:p w14:paraId="525AF315">
                    <w:pPr>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384D"/>
  <w:p w14:paraId="42D1D92F"/>
  <w:p w14:paraId="3805E859"/>
  <w:p w14:paraId="187A0489"/>
  <w:p w14:paraId="0862EF5C"/>
  <w:p w14:paraId="5FB5B201"/>
  <w:p w14:paraId="52107707"/>
  <w:p w14:paraId="6A1784D9"/>
  <w:p w14:paraId="44FDD463"/>
  <w:p w14:paraId="6B18BB1E"/>
  <w:p w14:paraId="1679DD24"/>
  <w:p w14:paraId="5C93C733"/>
  <w:p w14:paraId="4DA505A9"/>
  <w:p w14:paraId="59D47B9B"/>
  <w:p w14:paraId="66D4F682"/>
  <w:p w14:paraId="6B6513D7"/>
  <w:p w14:paraId="5FBC9A72"/>
  <w:p w14:paraId="12DC370C"/>
  <w:p w14:paraId="41836F92"/>
  <w:p w14:paraId="07E1E657"/>
  <w:p w14:paraId="6B92D801"/>
  <w:p w14:paraId="1A2F7DB3"/>
  <w:p w14:paraId="0BDEB7E5"/>
  <w:p w14:paraId="42DA333D"/>
  <w:p w14:paraId="3574A068"/>
  <w:p w14:paraId="02DC2BA5"/>
  <w:p w14:paraId="67235997"/>
  <w:p w14:paraId="24027E8B"/>
  <w:p w14:paraId="25A10EB0"/>
  <w:p w14:paraId="7E8575A0"/>
  <w:p w14:paraId="1745DC87"/>
  <w:p w14:paraId="18628251"/>
  <w:p w14:paraId="6B6EDFFA"/>
  <w:p w14:paraId="57B275C1"/>
  <w:p w14:paraId="0A0782E7"/>
  <w:p w14:paraId="40AF146E"/>
  <w:p w14:paraId="329D1497"/>
  <w:p w14:paraId="29CD82B9"/>
  <w:p w14:paraId="7F6ED02C"/>
  <w:p w14:paraId="6A326E8C"/>
  <w:p w14:paraId="1E791B47"/>
  <w:p w14:paraId="67BA9912"/>
  <w:p w14:paraId="263244F8"/>
  <w:p w14:paraId="325F94FE"/>
  <w:p w14:paraId="73023CDE"/>
  <w:p w14:paraId="42222FBF"/>
  <w:p w14:paraId="28312749"/>
  <w:p w14:paraId="39ED661F"/>
  <w:p w14:paraId="12C09057"/>
  <w:p w14:paraId="770F7AFC"/>
  <w:p w14:paraId="2588BB41"/>
  <w:p w14:paraId="6CBB8756"/>
  <w:p w14:paraId="4C059A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569A"/>
    <w:multiLevelType w:val="singleLevel"/>
    <w:tmpl w:val="CDCA569A"/>
    <w:lvl w:ilvl="0" w:tentative="0">
      <w:start w:val="1"/>
      <w:numFmt w:val="decimal"/>
      <w:pStyle w:val="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GRmNDliNzhiMTkwYmM3Mjg2ZmUwYzJiZjcyODYifQ=="/>
    <w:docVar w:name="KSO_WPS_MARK_KEY" w:val="709cdc5d-0540-476b-9a04-ce6690f85ef1"/>
  </w:docVars>
  <w:rsids>
    <w:rsidRoot w:val="00B81D48"/>
    <w:rsid w:val="00002F99"/>
    <w:rsid w:val="0004440D"/>
    <w:rsid w:val="000839BA"/>
    <w:rsid w:val="00087B52"/>
    <w:rsid w:val="00197C29"/>
    <w:rsid w:val="001A50FE"/>
    <w:rsid w:val="001B349B"/>
    <w:rsid w:val="001C0867"/>
    <w:rsid w:val="001C13BC"/>
    <w:rsid w:val="002814E9"/>
    <w:rsid w:val="002946E6"/>
    <w:rsid w:val="00350F4F"/>
    <w:rsid w:val="00432608"/>
    <w:rsid w:val="004638A5"/>
    <w:rsid w:val="004B4846"/>
    <w:rsid w:val="004B7F46"/>
    <w:rsid w:val="00524325"/>
    <w:rsid w:val="00590623"/>
    <w:rsid w:val="00602FBD"/>
    <w:rsid w:val="006573F3"/>
    <w:rsid w:val="0069501A"/>
    <w:rsid w:val="006E2675"/>
    <w:rsid w:val="006F13A5"/>
    <w:rsid w:val="007631A8"/>
    <w:rsid w:val="007D6DBE"/>
    <w:rsid w:val="00821DE5"/>
    <w:rsid w:val="008B60FE"/>
    <w:rsid w:val="008F1A9C"/>
    <w:rsid w:val="009177AE"/>
    <w:rsid w:val="00956249"/>
    <w:rsid w:val="00A020F0"/>
    <w:rsid w:val="00A47E6C"/>
    <w:rsid w:val="00A56A14"/>
    <w:rsid w:val="00A758DC"/>
    <w:rsid w:val="00A904E8"/>
    <w:rsid w:val="00AD3599"/>
    <w:rsid w:val="00AE4D14"/>
    <w:rsid w:val="00B1630D"/>
    <w:rsid w:val="00B47FC3"/>
    <w:rsid w:val="00B670C2"/>
    <w:rsid w:val="00B81D48"/>
    <w:rsid w:val="00C226A3"/>
    <w:rsid w:val="00C63554"/>
    <w:rsid w:val="00CE145F"/>
    <w:rsid w:val="00D10F55"/>
    <w:rsid w:val="00D657E2"/>
    <w:rsid w:val="00D75D84"/>
    <w:rsid w:val="00DA54C6"/>
    <w:rsid w:val="00E25ADA"/>
    <w:rsid w:val="00E7529E"/>
    <w:rsid w:val="00EE731F"/>
    <w:rsid w:val="00F055F2"/>
    <w:rsid w:val="00F9134F"/>
    <w:rsid w:val="00FF1142"/>
    <w:rsid w:val="00FF4AB2"/>
    <w:rsid w:val="01B2763E"/>
    <w:rsid w:val="01B77754"/>
    <w:rsid w:val="01EF731B"/>
    <w:rsid w:val="02272D09"/>
    <w:rsid w:val="02F827B5"/>
    <w:rsid w:val="03A76C6E"/>
    <w:rsid w:val="03D472D2"/>
    <w:rsid w:val="04710095"/>
    <w:rsid w:val="047E7BC6"/>
    <w:rsid w:val="04EB16EA"/>
    <w:rsid w:val="05240A42"/>
    <w:rsid w:val="066F1BE9"/>
    <w:rsid w:val="07683FB9"/>
    <w:rsid w:val="07BF3891"/>
    <w:rsid w:val="088C687B"/>
    <w:rsid w:val="08973524"/>
    <w:rsid w:val="08B37FAC"/>
    <w:rsid w:val="09505633"/>
    <w:rsid w:val="0A367D33"/>
    <w:rsid w:val="0ABE2232"/>
    <w:rsid w:val="0AF569CA"/>
    <w:rsid w:val="0B183F48"/>
    <w:rsid w:val="0B657E3F"/>
    <w:rsid w:val="0B723A39"/>
    <w:rsid w:val="0BAC3020"/>
    <w:rsid w:val="0C840297"/>
    <w:rsid w:val="0C840D85"/>
    <w:rsid w:val="0CE96AA1"/>
    <w:rsid w:val="0D1F511A"/>
    <w:rsid w:val="0D75742F"/>
    <w:rsid w:val="0EB255AE"/>
    <w:rsid w:val="1002083E"/>
    <w:rsid w:val="10A92A26"/>
    <w:rsid w:val="110A0E7A"/>
    <w:rsid w:val="114D16E3"/>
    <w:rsid w:val="11943167"/>
    <w:rsid w:val="11E5558D"/>
    <w:rsid w:val="122F1873"/>
    <w:rsid w:val="12621390"/>
    <w:rsid w:val="14270E0B"/>
    <w:rsid w:val="143E44B2"/>
    <w:rsid w:val="146F1229"/>
    <w:rsid w:val="15041055"/>
    <w:rsid w:val="15547FDE"/>
    <w:rsid w:val="16CB00C0"/>
    <w:rsid w:val="16D77490"/>
    <w:rsid w:val="1756362C"/>
    <w:rsid w:val="17C66E57"/>
    <w:rsid w:val="18D86A52"/>
    <w:rsid w:val="19BB266E"/>
    <w:rsid w:val="19D264E0"/>
    <w:rsid w:val="1B64607E"/>
    <w:rsid w:val="1BD143CB"/>
    <w:rsid w:val="1C055E22"/>
    <w:rsid w:val="1C7D1E5D"/>
    <w:rsid w:val="1CDB6D44"/>
    <w:rsid w:val="1E9F50E5"/>
    <w:rsid w:val="1EEB314A"/>
    <w:rsid w:val="1F246444"/>
    <w:rsid w:val="202A22FB"/>
    <w:rsid w:val="20F04B19"/>
    <w:rsid w:val="211865F8"/>
    <w:rsid w:val="2182189F"/>
    <w:rsid w:val="226E2973"/>
    <w:rsid w:val="228C0F03"/>
    <w:rsid w:val="22FE0FF6"/>
    <w:rsid w:val="23012011"/>
    <w:rsid w:val="24BC20C9"/>
    <w:rsid w:val="24DF63D3"/>
    <w:rsid w:val="26395046"/>
    <w:rsid w:val="26D70C92"/>
    <w:rsid w:val="2702368A"/>
    <w:rsid w:val="287007DF"/>
    <w:rsid w:val="28B26AEC"/>
    <w:rsid w:val="299F1664"/>
    <w:rsid w:val="2A785DF8"/>
    <w:rsid w:val="2A93219D"/>
    <w:rsid w:val="2B597F39"/>
    <w:rsid w:val="2D412A32"/>
    <w:rsid w:val="2DD702D0"/>
    <w:rsid w:val="2FAC3CE9"/>
    <w:rsid w:val="31313E9B"/>
    <w:rsid w:val="31794E91"/>
    <w:rsid w:val="31AC0DC2"/>
    <w:rsid w:val="329D695D"/>
    <w:rsid w:val="33943D8C"/>
    <w:rsid w:val="34137D7F"/>
    <w:rsid w:val="343D57C2"/>
    <w:rsid w:val="343E12AD"/>
    <w:rsid w:val="354362C5"/>
    <w:rsid w:val="35A04974"/>
    <w:rsid w:val="35BF6BEA"/>
    <w:rsid w:val="35D602A2"/>
    <w:rsid w:val="38307E03"/>
    <w:rsid w:val="38804307"/>
    <w:rsid w:val="38A21098"/>
    <w:rsid w:val="392204A6"/>
    <w:rsid w:val="399860D0"/>
    <w:rsid w:val="3A00614F"/>
    <w:rsid w:val="3ACB6460"/>
    <w:rsid w:val="3AEF7FF2"/>
    <w:rsid w:val="3B407636"/>
    <w:rsid w:val="3BC62A80"/>
    <w:rsid w:val="3C5D70FC"/>
    <w:rsid w:val="3D05582A"/>
    <w:rsid w:val="3E182D3C"/>
    <w:rsid w:val="3E436DFA"/>
    <w:rsid w:val="3E640EE7"/>
    <w:rsid w:val="3EAD4B84"/>
    <w:rsid w:val="3EE37D67"/>
    <w:rsid w:val="3FA75717"/>
    <w:rsid w:val="408B4299"/>
    <w:rsid w:val="42913B91"/>
    <w:rsid w:val="43670794"/>
    <w:rsid w:val="438A534E"/>
    <w:rsid w:val="447A4D50"/>
    <w:rsid w:val="44B172A1"/>
    <w:rsid w:val="45493506"/>
    <w:rsid w:val="45EA7CB3"/>
    <w:rsid w:val="46290E12"/>
    <w:rsid w:val="469631B0"/>
    <w:rsid w:val="47DC8921"/>
    <w:rsid w:val="496500C2"/>
    <w:rsid w:val="497B34BB"/>
    <w:rsid w:val="49D11A1A"/>
    <w:rsid w:val="4A284C78"/>
    <w:rsid w:val="4AF93C9D"/>
    <w:rsid w:val="4B104D1C"/>
    <w:rsid w:val="4B28401D"/>
    <w:rsid w:val="4D491763"/>
    <w:rsid w:val="4D8C33FE"/>
    <w:rsid w:val="4D90613A"/>
    <w:rsid w:val="4F882B10"/>
    <w:rsid w:val="4F8F19E5"/>
    <w:rsid w:val="50543881"/>
    <w:rsid w:val="51980357"/>
    <w:rsid w:val="523B2FB1"/>
    <w:rsid w:val="524378C6"/>
    <w:rsid w:val="53481A33"/>
    <w:rsid w:val="54274D4F"/>
    <w:rsid w:val="548C2E85"/>
    <w:rsid w:val="54EC75A4"/>
    <w:rsid w:val="57145C59"/>
    <w:rsid w:val="5715738D"/>
    <w:rsid w:val="57F347A6"/>
    <w:rsid w:val="585B0D05"/>
    <w:rsid w:val="59483EFF"/>
    <w:rsid w:val="5A0922DC"/>
    <w:rsid w:val="5B6A399B"/>
    <w:rsid w:val="5BB02FCA"/>
    <w:rsid w:val="5BF57A15"/>
    <w:rsid w:val="5C9E26A8"/>
    <w:rsid w:val="5D490A91"/>
    <w:rsid w:val="5DCF3D1D"/>
    <w:rsid w:val="5DD21301"/>
    <w:rsid w:val="5EB56C59"/>
    <w:rsid w:val="5F482B61"/>
    <w:rsid w:val="6082345D"/>
    <w:rsid w:val="61836929"/>
    <w:rsid w:val="61CA1D28"/>
    <w:rsid w:val="62F75170"/>
    <w:rsid w:val="649177EE"/>
    <w:rsid w:val="652F768E"/>
    <w:rsid w:val="66A76DC0"/>
    <w:rsid w:val="66A82BFF"/>
    <w:rsid w:val="66B46207"/>
    <w:rsid w:val="66BB3FDF"/>
    <w:rsid w:val="66BB411C"/>
    <w:rsid w:val="66D442C8"/>
    <w:rsid w:val="67192C65"/>
    <w:rsid w:val="68E92020"/>
    <w:rsid w:val="69006D22"/>
    <w:rsid w:val="69690D6B"/>
    <w:rsid w:val="6B1002F5"/>
    <w:rsid w:val="6BBA17FD"/>
    <w:rsid w:val="6D3A09A3"/>
    <w:rsid w:val="6D7901D4"/>
    <w:rsid w:val="6D955BA2"/>
    <w:rsid w:val="6E4771A1"/>
    <w:rsid w:val="6F135EC3"/>
    <w:rsid w:val="6F3B1249"/>
    <w:rsid w:val="71637B14"/>
    <w:rsid w:val="72966949"/>
    <w:rsid w:val="749278AD"/>
    <w:rsid w:val="74B11E78"/>
    <w:rsid w:val="757B75F5"/>
    <w:rsid w:val="75AF5D58"/>
    <w:rsid w:val="75C41943"/>
    <w:rsid w:val="762A53DF"/>
    <w:rsid w:val="764C5E0A"/>
    <w:rsid w:val="768A40CF"/>
    <w:rsid w:val="77272A31"/>
    <w:rsid w:val="77A22BCB"/>
    <w:rsid w:val="77E43BC0"/>
    <w:rsid w:val="782939AD"/>
    <w:rsid w:val="78414C61"/>
    <w:rsid w:val="78D83818"/>
    <w:rsid w:val="798E3D23"/>
    <w:rsid w:val="79C758F6"/>
    <w:rsid w:val="7AE16C4A"/>
    <w:rsid w:val="7AE5221C"/>
    <w:rsid w:val="7BEA55EF"/>
    <w:rsid w:val="7C3F3BAE"/>
    <w:rsid w:val="7CC13008"/>
    <w:rsid w:val="7E435F80"/>
    <w:rsid w:val="7F01271C"/>
    <w:rsid w:val="7F7C1752"/>
    <w:rsid w:val="FFFE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qFormat/>
    <w:uiPriority w:val="9"/>
    <w:pPr>
      <w:keepNext/>
      <w:keepLines/>
      <w:spacing w:before="340" w:after="330" w:line="360" w:lineRule="auto"/>
      <w:jc w:val="left"/>
      <w:outlineLvl w:val="0"/>
    </w:pPr>
    <w:rPr>
      <w:rFonts w:ascii="Calibri" w:hAnsi="Calibri" w:eastAsia="黑体" w:cs="Times New Roman"/>
      <w:bCs/>
      <w:kern w:val="44"/>
      <w:sz w:val="44"/>
      <w:szCs w:val="44"/>
    </w:rPr>
  </w:style>
  <w:style w:type="paragraph" w:styleId="4">
    <w:name w:val="heading 2"/>
    <w:basedOn w:val="1"/>
    <w:next w:val="1"/>
    <w:link w:val="41"/>
    <w:qFormat/>
    <w:uiPriority w:val="9"/>
    <w:pPr>
      <w:keepNext/>
      <w:keepLines/>
      <w:spacing w:before="260" w:after="260" w:line="360" w:lineRule="auto"/>
      <w:jc w:val="left"/>
      <w:outlineLvl w:val="1"/>
    </w:pPr>
    <w:rPr>
      <w:rFonts w:ascii="Cambria" w:hAnsi="Cambria" w:eastAsia="方正大标宋简体" w:cs="Times New Roman"/>
      <w:bCs/>
      <w:sz w:val="36"/>
      <w:szCs w:val="32"/>
    </w:rPr>
  </w:style>
  <w:style w:type="paragraph" w:styleId="5">
    <w:name w:val="heading 3"/>
    <w:basedOn w:val="1"/>
    <w:next w:val="1"/>
    <w:link w:val="49"/>
    <w:qFormat/>
    <w:uiPriority w:val="9"/>
    <w:pPr>
      <w:keepNext/>
      <w:keepLines/>
      <w:adjustRightInd w:val="0"/>
      <w:spacing w:before="260" w:after="260" w:line="360" w:lineRule="auto"/>
      <w:jc w:val="left"/>
      <w:outlineLvl w:val="2"/>
    </w:pPr>
    <w:rPr>
      <w:rFonts w:ascii="Calibri" w:hAnsi="Calibri" w:eastAsia="黑体" w:cs="Times New Roman"/>
      <w:bCs/>
      <w:sz w:val="32"/>
      <w:szCs w:val="32"/>
    </w:rPr>
  </w:style>
  <w:style w:type="paragraph" w:styleId="6">
    <w:name w:val="heading 4"/>
    <w:basedOn w:val="1"/>
    <w:next w:val="1"/>
    <w:link w:val="43"/>
    <w:qFormat/>
    <w:uiPriority w:val="9"/>
    <w:pPr>
      <w:keepNext/>
      <w:keepLines/>
      <w:spacing w:before="280" w:after="290" w:line="377" w:lineRule="auto"/>
      <w:ind w:firstLine="10" w:firstLineChars="10"/>
      <w:jc w:val="left"/>
      <w:outlineLvl w:val="3"/>
    </w:pPr>
    <w:rPr>
      <w:rFonts w:ascii="Cambria" w:hAnsi="Cambria" w:eastAsia="黑体" w:cs="Times New Roman"/>
      <w:bCs/>
      <w:sz w:val="24"/>
      <w:szCs w:val="28"/>
    </w:rPr>
  </w:style>
  <w:style w:type="paragraph" w:styleId="7">
    <w:name w:val="heading 5"/>
    <w:basedOn w:val="8"/>
    <w:next w:val="9"/>
    <w:link w:val="44"/>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paragraph" w:styleId="11">
    <w:name w:val="heading 6"/>
    <w:basedOn w:val="1"/>
    <w:next w:val="1"/>
    <w:link w:val="45"/>
    <w:qFormat/>
    <w:uiPriority w:val="9"/>
    <w:pPr>
      <w:keepNext/>
      <w:keepLines/>
      <w:spacing w:before="240" w:after="64" w:line="319" w:lineRule="auto"/>
      <w:ind w:firstLine="200" w:firstLineChars="200"/>
      <w:jc w:val="center"/>
      <w:outlineLvl w:val="5"/>
    </w:pPr>
    <w:rPr>
      <w:rFonts w:ascii="Cambria" w:hAnsi="Cambria" w:eastAsia="宋体" w:cs="Times New Roman"/>
      <w:b/>
      <w:bCs/>
      <w:sz w:val="24"/>
      <w:szCs w:val="24"/>
    </w:rPr>
  </w:style>
  <w:style w:type="paragraph" w:styleId="12">
    <w:name w:val="heading 7"/>
    <w:basedOn w:val="1"/>
    <w:next w:val="1"/>
    <w:link w:val="46"/>
    <w:qFormat/>
    <w:uiPriority w:val="9"/>
    <w:pPr>
      <w:keepNext/>
      <w:keepLines/>
      <w:spacing w:before="240" w:after="64" w:line="319" w:lineRule="auto"/>
      <w:ind w:firstLine="200" w:firstLineChars="200"/>
      <w:jc w:val="center"/>
      <w:outlineLvl w:val="6"/>
    </w:pPr>
    <w:rPr>
      <w:rFonts w:ascii="Calibri" w:hAnsi="Calibri" w:eastAsia="宋体" w:cs="Times New Roman"/>
      <w:b/>
      <w:bCs/>
      <w:sz w:val="24"/>
      <w:szCs w:val="24"/>
    </w:rPr>
  </w:style>
  <w:style w:type="paragraph" w:styleId="13">
    <w:name w:val="heading 8"/>
    <w:basedOn w:val="1"/>
    <w:next w:val="1"/>
    <w:link w:val="47"/>
    <w:qFormat/>
    <w:uiPriority w:val="9"/>
    <w:pPr>
      <w:keepNext/>
      <w:keepLines/>
      <w:spacing w:before="240" w:after="64" w:line="319" w:lineRule="auto"/>
      <w:ind w:firstLine="200" w:firstLineChars="200"/>
      <w:jc w:val="left"/>
      <w:outlineLvl w:val="7"/>
    </w:pPr>
    <w:rPr>
      <w:rFonts w:ascii="Cambria" w:hAnsi="Cambria" w:eastAsia="宋体" w:cs="Times New Roman"/>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4"/>
    <w:unhideWhenUsed/>
    <w:qFormat/>
    <w:uiPriority w:val="99"/>
    <w:rPr>
      <w:rFonts w:ascii="Calibri" w:hAnsi="Calibri" w:eastAsia="宋体" w:cs="Times New Roman"/>
      <w:sz w:val="18"/>
      <w:szCs w:val="18"/>
    </w:rPr>
  </w:style>
  <w:style w:type="paragraph" w:styleId="8">
    <w:name w:val="List Number 2"/>
    <w:basedOn w:val="1"/>
    <w:unhideWhenUsed/>
    <w:qFormat/>
    <w:uiPriority w:val="99"/>
    <w:pPr>
      <w:numPr>
        <w:ilvl w:val="0"/>
        <w:numId w:val="1"/>
      </w:numPr>
    </w:pPr>
    <w:rPr>
      <w:rFonts w:ascii="Calibri" w:hAnsi="Calibri" w:eastAsia="宋体" w:cs="Times New Roman"/>
    </w:rPr>
  </w:style>
  <w:style w:type="paragraph" w:styleId="9">
    <w:name w:val="Normal (Web)"/>
    <w:basedOn w:val="1"/>
    <w:next w:val="1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样式 标题 3 + (中文) 黑体 小四 非加粗 段前: 7.8 磅 段后: 0 磅 行距: 固定值 20 磅"/>
    <w:basedOn w:val="5"/>
    <w:qFormat/>
    <w:uiPriority w:val="0"/>
    <w:pPr>
      <w:tabs>
        <w:tab w:val="left" w:pos="425"/>
      </w:tabs>
      <w:spacing w:before="0" w:after="0" w:line="400" w:lineRule="exact"/>
    </w:pPr>
    <w:rPr>
      <w:rFonts w:cs="宋体"/>
      <w:sz w:val="24"/>
      <w:szCs w:val="20"/>
    </w:rPr>
  </w:style>
  <w:style w:type="paragraph" w:styleId="14">
    <w:name w:val="Normal Indent"/>
    <w:basedOn w:val="1"/>
    <w:qFormat/>
    <w:uiPriority w:val="0"/>
    <w:pPr>
      <w:ind w:firstLine="420"/>
    </w:pPr>
    <w:rPr>
      <w:rFonts w:ascii="Times New Roman" w:hAnsi="Times New Roman" w:cs="Times New Roman"/>
      <w:szCs w:val="20"/>
    </w:rPr>
  </w:style>
  <w:style w:type="paragraph" w:styleId="15">
    <w:name w:val="Document Map"/>
    <w:basedOn w:val="1"/>
    <w:link w:val="50"/>
    <w:unhideWhenUsed/>
    <w:qFormat/>
    <w:uiPriority w:val="99"/>
    <w:rPr>
      <w:rFonts w:ascii="宋体" w:hAnsi="Calibri" w:eastAsia="宋体" w:cs="Times New Roman"/>
      <w:sz w:val="18"/>
      <w:szCs w:val="18"/>
    </w:rPr>
  </w:style>
  <w:style w:type="paragraph" w:styleId="16">
    <w:name w:val="annotation text"/>
    <w:basedOn w:val="1"/>
    <w:link w:val="51"/>
    <w:unhideWhenUsed/>
    <w:qFormat/>
    <w:uiPriority w:val="0"/>
    <w:pPr>
      <w:jc w:val="left"/>
    </w:pPr>
    <w:rPr>
      <w:rFonts w:ascii="Calibri" w:hAnsi="Calibri" w:eastAsia="宋体" w:cs="Times New Roman"/>
    </w:rPr>
  </w:style>
  <w:style w:type="paragraph" w:styleId="17">
    <w:name w:val="Body Text"/>
    <w:basedOn w:val="1"/>
    <w:next w:val="1"/>
    <w:link w:val="52"/>
    <w:qFormat/>
    <w:uiPriority w:val="1"/>
    <w:rPr>
      <w:rFonts w:ascii="Calibri" w:hAnsi="Calibri" w:eastAsia="宋体" w:cs="Times New Roman"/>
      <w:b/>
      <w:szCs w:val="24"/>
    </w:rPr>
  </w:style>
  <w:style w:type="paragraph" w:styleId="18">
    <w:name w:val="toc 3"/>
    <w:basedOn w:val="1"/>
    <w:next w:val="1"/>
    <w:unhideWhenUsed/>
    <w:qFormat/>
    <w:uiPriority w:val="39"/>
    <w:pPr>
      <w:ind w:left="840" w:leftChars="400"/>
    </w:pPr>
    <w:rPr>
      <w:rFonts w:ascii="Calibri" w:hAnsi="Calibri" w:eastAsia="宋体" w:cs="Times New Roman"/>
    </w:rPr>
  </w:style>
  <w:style w:type="paragraph" w:styleId="19">
    <w:name w:val="Plain Text"/>
    <w:basedOn w:val="1"/>
    <w:link w:val="53"/>
    <w:unhideWhenUsed/>
    <w:qFormat/>
    <w:uiPriority w:val="99"/>
    <w:rPr>
      <w:rFonts w:ascii="宋体" w:hAnsi="Courier New" w:eastAsia="宋体" w:cs="Courier New"/>
      <w:szCs w:val="21"/>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rPr>
      <w:rFonts w:ascii="Calibri" w:hAnsi="Calibri" w:eastAsia="宋体" w:cs="Times New Roman"/>
    </w:rPr>
  </w:style>
  <w:style w:type="paragraph" w:styleId="23">
    <w:name w:val="footnote text"/>
    <w:basedOn w:val="1"/>
    <w:link w:val="55"/>
    <w:unhideWhenUsed/>
    <w:qFormat/>
    <w:uiPriority w:val="99"/>
    <w:pPr>
      <w:snapToGrid w:val="0"/>
      <w:jc w:val="left"/>
    </w:pPr>
    <w:rPr>
      <w:rFonts w:ascii="Calibri" w:hAnsi="Calibri" w:eastAsia="宋体" w:cs="Times New Roman"/>
      <w:sz w:val="18"/>
      <w:szCs w:val="18"/>
    </w:rPr>
  </w:style>
  <w:style w:type="paragraph" w:styleId="24">
    <w:name w:val="toc 2"/>
    <w:basedOn w:val="1"/>
    <w:next w:val="1"/>
    <w:unhideWhenUsed/>
    <w:qFormat/>
    <w:uiPriority w:val="39"/>
    <w:pPr>
      <w:ind w:left="420" w:leftChars="200"/>
    </w:pPr>
    <w:rPr>
      <w:rFonts w:ascii="Calibri" w:hAnsi="Calibri" w:eastAsia="宋体" w:cs="Times New Roman"/>
    </w:rPr>
  </w:style>
  <w:style w:type="paragraph" w:styleId="25">
    <w:name w:val="List 4"/>
    <w:basedOn w:val="1"/>
    <w:unhideWhenUsed/>
    <w:qFormat/>
    <w:uiPriority w:val="99"/>
    <w:pPr>
      <w:ind w:left="100" w:leftChars="600" w:hanging="200" w:hangingChars="200"/>
      <w:contextualSpacing/>
    </w:pPr>
    <w:rPr>
      <w:rFonts w:ascii="Calibri" w:hAnsi="Calibri" w:eastAsia="宋体" w:cs="Times New Roman"/>
    </w:rPr>
  </w:style>
  <w:style w:type="paragraph" w:styleId="26">
    <w:name w:val="HTML Preformatted"/>
    <w:basedOn w:val="1"/>
    <w:link w:val="5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7">
    <w:name w:val="Title"/>
    <w:basedOn w:val="1"/>
    <w:next w:val="1"/>
    <w:link w:val="57"/>
    <w:qFormat/>
    <w:uiPriority w:val="1"/>
    <w:pPr>
      <w:spacing w:before="207"/>
      <w:ind w:left="1174" w:right="576"/>
      <w:jc w:val="center"/>
    </w:pPr>
    <w:rPr>
      <w:rFonts w:ascii="Arial Unicode MS" w:hAnsi="Arial Unicode MS" w:eastAsia="Arial Unicode MS" w:cs="Arial Unicode MS"/>
      <w:sz w:val="44"/>
      <w:szCs w:val="44"/>
    </w:rPr>
  </w:style>
  <w:style w:type="paragraph" w:styleId="28">
    <w:name w:val="annotation subject"/>
    <w:basedOn w:val="16"/>
    <w:next w:val="16"/>
    <w:link w:val="58"/>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99"/>
  </w:style>
  <w:style w:type="character" w:styleId="34">
    <w:name w:val="Hyperlink"/>
    <w:unhideWhenUsed/>
    <w:qFormat/>
    <w:uiPriority w:val="99"/>
    <w:rPr>
      <w:color w:val="0000FF"/>
      <w:u w:val="single"/>
    </w:rPr>
  </w:style>
  <w:style w:type="character" w:styleId="35">
    <w:name w:val="annotation reference"/>
    <w:unhideWhenUsed/>
    <w:qFormat/>
    <w:uiPriority w:val="0"/>
    <w:rPr>
      <w:sz w:val="21"/>
      <w:szCs w:val="21"/>
    </w:rPr>
  </w:style>
  <w:style w:type="character" w:styleId="36">
    <w:name w:val="footnote reference"/>
    <w:unhideWhenUsed/>
    <w:qFormat/>
    <w:uiPriority w:val="99"/>
    <w:rPr>
      <w:vertAlign w:val="superscript"/>
    </w:rPr>
  </w:style>
  <w:style w:type="character" w:customStyle="1" w:styleId="37">
    <w:name w:val="标题 1 Char"/>
    <w:basedOn w:val="31"/>
    <w:qFormat/>
    <w:uiPriority w:val="9"/>
    <w:rPr>
      <w:b/>
      <w:bCs/>
      <w:kern w:val="44"/>
      <w:sz w:val="44"/>
      <w:szCs w:val="44"/>
    </w:rPr>
  </w:style>
  <w:style w:type="paragraph" w:customStyle="1" w:styleId="38">
    <w:name w:val="Fließtext"/>
    <w:basedOn w:val="1"/>
    <w:qFormat/>
    <w:uiPriority w:val="99"/>
    <w:pPr>
      <w:overflowPunct w:val="0"/>
      <w:autoSpaceDE w:val="0"/>
      <w:autoSpaceDN w:val="0"/>
      <w:adjustRightInd w:val="0"/>
      <w:textAlignment w:val="baseline"/>
    </w:pPr>
    <w:rPr>
      <w:kern w:val="28"/>
      <w:szCs w:val="20"/>
    </w:rPr>
  </w:style>
  <w:style w:type="character" w:customStyle="1" w:styleId="39">
    <w:name w:val="页眉 字符"/>
    <w:basedOn w:val="31"/>
    <w:link w:val="21"/>
    <w:qFormat/>
    <w:uiPriority w:val="99"/>
    <w:rPr>
      <w:sz w:val="18"/>
      <w:szCs w:val="18"/>
    </w:rPr>
  </w:style>
  <w:style w:type="character" w:customStyle="1" w:styleId="40">
    <w:name w:val="页脚 字符"/>
    <w:basedOn w:val="31"/>
    <w:link w:val="20"/>
    <w:qFormat/>
    <w:uiPriority w:val="99"/>
    <w:rPr>
      <w:sz w:val="18"/>
      <w:szCs w:val="18"/>
    </w:rPr>
  </w:style>
  <w:style w:type="character" w:customStyle="1" w:styleId="41">
    <w:name w:val="标题 2 字符"/>
    <w:basedOn w:val="31"/>
    <w:link w:val="4"/>
    <w:qFormat/>
    <w:uiPriority w:val="9"/>
    <w:rPr>
      <w:rFonts w:ascii="Cambria" w:hAnsi="Cambria" w:eastAsia="方正大标宋简体" w:cs="Times New Roman"/>
      <w:bCs/>
      <w:sz w:val="36"/>
      <w:szCs w:val="32"/>
    </w:rPr>
  </w:style>
  <w:style w:type="character" w:customStyle="1" w:styleId="42">
    <w:name w:val="标题 3 Char"/>
    <w:basedOn w:val="31"/>
    <w:qFormat/>
    <w:uiPriority w:val="0"/>
    <w:rPr>
      <w:b/>
      <w:bCs/>
      <w:sz w:val="32"/>
      <w:szCs w:val="32"/>
    </w:rPr>
  </w:style>
  <w:style w:type="character" w:customStyle="1" w:styleId="43">
    <w:name w:val="标题 4 字符"/>
    <w:basedOn w:val="31"/>
    <w:link w:val="6"/>
    <w:qFormat/>
    <w:uiPriority w:val="9"/>
    <w:rPr>
      <w:rFonts w:ascii="Cambria" w:hAnsi="Cambria" w:eastAsia="黑体" w:cs="Times New Roman"/>
      <w:bCs/>
      <w:sz w:val="24"/>
      <w:szCs w:val="28"/>
    </w:rPr>
  </w:style>
  <w:style w:type="character" w:customStyle="1" w:styleId="44">
    <w:name w:val="标题 5 字符"/>
    <w:basedOn w:val="31"/>
    <w:link w:val="7"/>
    <w:qFormat/>
    <w:uiPriority w:val="9"/>
    <w:rPr>
      <w:rFonts w:ascii="Times New Roman" w:hAnsi="Times New Roman" w:eastAsia="仿宋_GB2312" w:cs="Times New Roman"/>
      <w:bCs/>
      <w:szCs w:val="28"/>
    </w:rPr>
  </w:style>
  <w:style w:type="character" w:customStyle="1" w:styleId="45">
    <w:name w:val="标题 6 字符"/>
    <w:basedOn w:val="31"/>
    <w:link w:val="11"/>
    <w:qFormat/>
    <w:uiPriority w:val="9"/>
    <w:rPr>
      <w:rFonts w:ascii="Cambria" w:hAnsi="Cambria" w:eastAsia="宋体" w:cs="Times New Roman"/>
      <w:b/>
      <w:bCs/>
      <w:sz w:val="24"/>
      <w:szCs w:val="24"/>
    </w:rPr>
  </w:style>
  <w:style w:type="character" w:customStyle="1" w:styleId="46">
    <w:name w:val="标题 7 字符"/>
    <w:basedOn w:val="31"/>
    <w:link w:val="12"/>
    <w:qFormat/>
    <w:uiPriority w:val="9"/>
    <w:rPr>
      <w:rFonts w:ascii="Calibri" w:hAnsi="Calibri" w:eastAsia="宋体" w:cs="Times New Roman"/>
      <w:b/>
      <w:bCs/>
      <w:sz w:val="24"/>
      <w:szCs w:val="24"/>
    </w:rPr>
  </w:style>
  <w:style w:type="character" w:customStyle="1" w:styleId="47">
    <w:name w:val="标题 8 字符"/>
    <w:basedOn w:val="31"/>
    <w:link w:val="13"/>
    <w:qFormat/>
    <w:uiPriority w:val="9"/>
    <w:rPr>
      <w:rFonts w:ascii="Cambria" w:hAnsi="Cambria" w:eastAsia="宋体" w:cs="Times New Roman"/>
      <w:sz w:val="24"/>
      <w:szCs w:val="24"/>
    </w:rPr>
  </w:style>
  <w:style w:type="character" w:customStyle="1" w:styleId="48">
    <w:name w:val="标题 1 字符"/>
    <w:link w:val="3"/>
    <w:qFormat/>
    <w:uiPriority w:val="9"/>
    <w:rPr>
      <w:rFonts w:ascii="Calibri" w:hAnsi="Calibri" w:eastAsia="黑体" w:cs="Times New Roman"/>
      <w:bCs/>
      <w:kern w:val="44"/>
      <w:sz w:val="44"/>
      <w:szCs w:val="44"/>
    </w:rPr>
  </w:style>
  <w:style w:type="character" w:customStyle="1" w:styleId="49">
    <w:name w:val="标题 3 字符"/>
    <w:link w:val="5"/>
    <w:qFormat/>
    <w:uiPriority w:val="9"/>
    <w:rPr>
      <w:rFonts w:ascii="Calibri" w:hAnsi="Calibri" w:eastAsia="黑体" w:cs="Times New Roman"/>
      <w:bCs/>
      <w:sz w:val="32"/>
      <w:szCs w:val="32"/>
    </w:rPr>
  </w:style>
  <w:style w:type="character" w:customStyle="1" w:styleId="50">
    <w:name w:val="文档结构图 字符"/>
    <w:basedOn w:val="31"/>
    <w:link w:val="15"/>
    <w:qFormat/>
    <w:uiPriority w:val="99"/>
    <w:rPr>
      <w:rFonts w:ascii="宋体" w:hAnsi="Calibri" w:eastAsia="宋体" w:cs="Times New Roman"/>
      <w:sz w:val="18"/>
      <w:szCs w:val="18"/>
    </w:rPr>
  </w:style>
  <w:style w:type="character" w:customStyle="1" w:styleId="51">
    <w:name w:val="批注文字 字符"/>
    <w:basedOn w:val="31"/>
    <w:link w:val="16"/>
    <w:qFormat/>
    <w:uiPriority w:val="0"/>
    <w:rPr>
      <w:rFonts w:ascii="Calibri" w:hAnsi="Calibri" w:eastAsia="宋体" w:cs="Times New Roman"/>
    </w:rPr>
  </w:style>
  <w:style w:type="character" w:customStyle="1" w:styleId="52">
    <w:name w:val="正文文本 字符"/>
    <w:basedOn w:val="31"/>
    <w:link w:val="17"/>
    <w:qFormat/>
    <w:uiPriority w:val="1"/>
    <w:rPr>
      <w:rFonts w:ascii="Calibri" w:hAnsi="Calibri" w:eastAsia="宋体" w:cs="Times New Roman"/>
      <w:b/>
      <w:szCs w:val="24"/>
    </w:rPr>
  </w:style>
  <w:style w:type="character" w:customStyle="1" w:styleId="53">
    <w:name w:val="纯文本 字符"/>
    <w:basedOn w:val="31"/>
    <w:link w:val="19"/>
    <w:qFormat/>
    <w:uiPriority w:val="99"/>
    <w:rPr>
      <w:rFonts w:ascii="宋体" w:hAnsi="Courier New" w:eastAsia="宋体" w:cs="Courier New"/>
      <w:szCs w:val="21"/>
    </w:rPr>
  </w:style>
  <w:style w:type="character" w:customStyle="1" w:styleId="54">
    <w:name w:val="批注框文本 字符"/>
    <w:basedOn w:val="31"/>
    <w:link w:val="2"/>
    <w:qFormat/>
    <w:uiPriority w:val="99"/>
    <w:rPr>
      <w:rFonts w:ascii="Calibri" w:hAnsi="Calibri" w:eastAsia="宋体" w:cs="Times New Roman"/>
      <w:sz w:val="18"/>
      <w:szCs w:val="18"/>
    </w:rPr>
  </w:style>
  <w:style w:type="character" w:customStyle="1" w:styleId="55">
    <w:name w:val="脚注文本 字符"/>
    <w:basedOn w:val="31"/>
    <w:link w:val="23"/>
    <w:qFormat/>
    <w:uiPriority w:val="99"/>
    <w:rPr>
      <w:rFonts w:ascii="Calibri" w:hAnsi="Calibri" w:eastAsia="宋体" w:cs="Times New Roman"/>
      <w:sz w:val="18"/>
      <w:szCs w:val="18"/>
    </w:rPr>
  </w:style>
  <w:style w:type="character" w:customStyle="1" w:styleId="56">
    <w:name w:val="HTML 预设格式 字符"/>
    <w:basedOn w:val="31"/>
    <w:link w:val="26"/>
    <w:qFormat/>
    <w:uiPriority w:val="99"/>
    <w:rPr>
      <w:rFonts w:ascii="宋体" w:hAnsi="宋体" w:eastAsia="宋体" w:cs="Times New Roman"/>
      <w:kern w:val="0"/>
      <w:sz w:val="24"/>
      <w:szCs w:val="24"/>
    </w:rPr>
  </w:style>
  <w:style w:type="character" w:customStyle="1" w:styleId="57">
    <w:name w:val="标题 字符"/>
    <w:basedOn w:val="31"/>
    <w:link w:val="27"/>
    <w:qFormat/>
    <w:uiPriority w:val="1"/>
    <w:rPr>
      <w:rFonts w:ascii="Arial Unicode MS" w:hAnsi="Arial Unicode MS" w:eastAsia="Arial Unicode MS" w:cs="Arial Unicode MS"/>
      <w:sz w:val="44"/>
      <w:szCs w:val="44"/>
    </w:rPr>
  </w:style>
  <w:style w:type="character" w:customStyle="1" w:styleId="58">
    <w:name w:val="批注主题 字符"/>
    <w:basedOn w:val="51"/>
    <w:link w:val="28"/>
    <w:qFormat/>
    <w:uiPriority w:val="99"/>
    <w:rPr>
      <w:rFonts w:ascii="Calibri" w:hAnsi="Calibri" w:eastAsia="宋体" w:cs="Times New Roman"/>
      <w:b/>
      <w:bCs/>
    </w:rPr>
  </w:style>
  <w:style w:type="paragraph" w:customStyle="1" w:styleId="59">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60">
    <w:name w:val="List Paragraph"/>
    <w:basedOn w:val="1"/>
    <w:qFormat/>
    <w:uiPriority w:val="34"/>
    <w:pPr>
      <w:ind w:firstLine="420" w:firstLineChars="200"/>
    </w:pPr>
    <w:rPr>
      <w:rFonts w:ascii="Calibri" w:hAnsi="Calibri" w:eastAsia="宋体" w:cs="Times New Roman"/>
    </w:rPr>
  </w:style>
  <w:style w:type="character" w:styleId="61">
    <w:name w:val="Placeholder Text"/>
    <w:unhideWhenUsed/>
    <w:qFormat/>
    <w:uiPriority w:val="99"/>
    <w:rPr>
      <w:color w:val="808080"/>
    </w:rPr>
  </w:style>
  <w:style w:type="character" w:customStyle="1" w:styleId="62">
    <w:name w:val="bjh-p"/>
    <w:qFormat/>
    <w:uiPriority w:val="0"/>
  </w:style>
  <w:style w:type="character" w:customStyle="1" w:styleId="63">
    <w:name w:val="bjh-strong"/>
    <w:qFormat/>
    <w:uiPriority w:val="0"/>
  </w:style>
  <w:style w:type="paragraph" w:customStyle="1" w:styleId="64">
    <w:name w:val="表格文字 居中加粗"/>
    <w:basedOn w:val="1"/>
    <w:qFormat/>
    <w:uiPriority w:val="99"/>
    <w:pPr>
      <w:widowControl/>
      <w:overflowPunct w:val="0"/>
      <w:autoSpaceDE w:val="0"/>
      <w:autoSpaceDN w:val="0"/>
      <w:adjustRightInd w:val="0"/>
      <w:jc w:val="center"/>
      <w:textAlignment w:val="baseline"/>
    </w:pPr>
    <w:rPr>
      <w:rFonts w:ascii="Times New Roman" w:hAnsi="Times New Roman" w:eastAsia="宋体" w:cs="宋体"/>
      <w:b/>
      <w:bCs/>
      <w:kern w:val="0"/>
      <w:szCs w:val="20"/>
    </w:rPr>
  </w:style>
  <w:style w:type="paragraph" w:customStyle="1" w:styleId="65">
    <w:name w:val="表格文字 居中"/>
    <w:basedOn w:val="1"/>
    <w:qFormat/>
    <w:uiPriority w:val="99"/>
    <w:pPr>
      <w:widowControl/>
      <w:overflowPunct w:val="0"/>
      <w:autoSpaceDE w:val="0"/>
      <w:autoSpaceDN w:val="0"/>
      <w:adjustRightInd w:val="0"/>
      <w:jc w:val="center"/>
      <w:textAlignment w:val="baseline"/>
    </w:pPr>
    <w:rPr>
      <w:rFonts w:ascii="Times New Roman" w:hAnsi="Times New Roman" w:eastAsia="宋体" w:cs="Times New Roman"/>
      <w:kern w:val="0"/>
      <w:szCs w:val="20"/>
    </w:rPr>
  </w:style>
  <w:style w:type="paragraph" w:customStyle="1" w:styleId="66">
    <w:name w:val="表格文字 左对齐"/>
    <w:basedOn w:val="65"/>
    <w:qFormat/>
    <w:uiPriority w:val="99"/>
    <w:pPr>
      <w:jc w:val="both"/>
    </w:pPr>
  </w:style>
  <w:style w:type="paragraph" w:customStyle="1" w:styleId="67">
    <w:name w:val="修订1"/>
    <w:unhideWhenUsed/>
    <w:qFormat/>
    <w:uiPriority w:val="99"/>
    <w:rPr>
      <w:rFonts w:ascii="Calibri" w:hAnsi="Calibri" w:eastAsia="宋体" w:cs="Times New Roman"/>
      <w:kern w:val="2"/>
      <w:sz w:val="21"/>
      <w:szCs w:val="22"/>
      <w:lang w:val="en-US" w:eastAsia="zh-CN" w:bidi="ar-SA"/>
    </w:rPr>
  </w:style>
  <w:style w:type="paragraph" w:customStyle="1" w:styleId="68">
    <w:name w:val="WPSOffice手动目录 1"/>
    <w:qFormat/>
    <w:uiPriority w:val="0"/>
    <w:rPr>
      <w:rFonts w:ascii="Calibri" w:hAnsi="Calibri" w:eastAsia="宋体" w:cs="Times New Roman"/>
      <w:sz w:val="24"/>
      <w:lang w:val="en-US" w:eastAsia="zh-CN" w:bidi="ar-SA"/>
    </w:rPr>
  </w:style>
  <w:style w:type="paragraph" w:customStyle="1" w:styleId="69">
    <w:name w:val="WPSOffice手动目录 2"/>
    <w:qFormat/>
    <w:uiPriority w:val="0"/>
    <w:pPr>
      <w:ind w:left="200" w:leftChars="200"/>
    </w:pPr>
    <w:rPr>
      <w:rFonts w:ascii="Calibri" w:hAnsi="Calibri" w:eastAsia="宋体" w:cs="Times New Roman"/>
      <w:sz w:val="24"/>
      <w:lang w:val="en-US" w:eastAsia="zh-CN" w:bidi="ar-SA"/>
    </w:rPr>
  </w:style>
  <w:style w:type="paragraph" w:customStyle="1" w:styleId="70">
    <w:name w:val="WPSOffice手动目录 3"/>
    <w:qFormat/>
    <w:uiPriority w:val="0"/>
    <w:pPr>
      <w:ind w:left="400" w:leftChars="400"/>
    </w:pPr>
    <w:rPr>
      <w:rFonts w:ascii="Calibri" w:hAnsi="Calibri" w:eastAsia="宋体" w:cs="Times New Roman"/>
      <w:sz w:val="24"/>
      <w:lang w:val="en-US" w:eastAsia="zh-CN" w:bidi="ar-SA"/>
    </w:rPr>
  </w:style>
  <w:style w:type="paragraph" w:customStyle="1" w:styleId="71">
    <w:name w:val="样式1"/>
    <w:basedOn w:val="1"/>
    <w:qFormat/>
    <w:uiPriority w:val="0"/>
    <w:pPr>
      <w:jc w:val="center"/>
    </w:pPr>
    <w:rPr>
      <w:rFonts w:ascii="Calibri" w:hAnsi="Calibri" w:eastAsia="方正大标宋简体" w:cs="Times New Roman"/>
      <w:sz w:val="52"/>
    </w:rPr>
  </w:style>
  <w:style w:type="paragraph" w:customStyle="1" w:styleId="72">
    <w:name w:val="Table Paragraph"/>
    <w:basedOn w:val="1"/>
    <w:qFormat/>
    <w:uiPriority w:val="1"/>
    <w:pPr>
      <w:jc w:val="left"/>
    </w:pPr>
    <w:rPr>
      <w:rFonts w:ascii="Calibri" w:hAnsi="Calibri" w:eastAsia="Calibri" w:cs="黑体"/>
      <w:kern w:val="0"/>
      <w:sz w:val="22"/>
      <w:lang w:eastAsia="en-US"/>
    </w:rPr>
  </w:style>
  <w:style w:type="paragraph" w:customStyle="1" w:styleId="73">
    <w:name w:val="null3"/>
    <w:qFormat/>
    <w:uiPriority w:val="0"/>
    <w:rPr>
      <w:rFonts w:hint="eastAsia" w:ascii="Calibri" w:hAnsi="Calibri" w:eastAsia="宋体" w:cs="Times New Roman"/>
      <w:lang w:val="en-US" w:eastAsia="zh-CN" w:bidi="ar-SA"/>
    </w:rPr>
  </w:style>
  <w:style w:type="paragraph" w:customStyle="1" w:styleId="7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7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76">
    <w:name w:val="Table Text"/>
    <w:basedOn w:val="1"/>
    <w:semiHidden/>
    <w:qFormat/>
    <w:uiPriority w:val="0"/>
    <w:pPr>
      <w:widowControl/>
      <w:overflowPunct w:val="0"/>
      <w:autoSpaceDE w:val="0"/>
      <w:autoSpaceDN w:val="0"/>
      <w:adjustRightInd w:val="0"/>
      <w:textAlignment w:val="baseline"/>
    </w:pPr>
    <w:rPr>
      <w:rFonts w:ascii="宋体" w:hAnsi="宋体" w:cs="宋体"/>
      <w:sz w:val="20"/>
      <w:szCs w:val="20"/>
      <w:lang w:eastAsia="en-US"/>
    </w:rPr>
  </w:style>
  <w:style w:type="paragraph" w:customStyle="1" w:styleId="7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8">
    <w:name w:val="MsoNormal"/>
    <w:basedOn w:val="1"/>
    <w:qFormat/>
    <w:uiPriority w:val="0"/>
  </w:style>
  <w:style w:type="paragraph" w:customStyle="1" w:styleId="79">
    <w:name w:val="15"/>
    <w:basedOn w:val="1"/>
    <w:qFormat/>
    <w:uiPriority w:val="0"/>
  </w:style>
  <w:style w:type="paragraph" w:customStyle="1" w:styleId="8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1">
    <w:name w:val="列出段落2"/>
    <w:basedOn w:val="1"/>
    <w:qFormat/>
    <w:uiPriority w:val="99"/>
    <w:pPr>
      <w:ind w:firstLine="420" w:firstLineChars="200"/>
    </w:pPr>
    <w:rPr>
      <w:lang w:val="zh-CN"/>
    </w:rPr>
  </w:style>
  <w:style w:type="paragraph" w:customStyle="1" w:styleId="82">
    <w:name w:val="列出段落1"/>
    <w:basedOn w:val="1"/>
    <w:next w:val="17"/>
    <w:qFormat/>
    <w:uiPriority w:val="34"/>
    <w:pPr>
      <w:ind w:firstLine="420"/>
    </w:pPr>
  </w:style>
  <w:style w:type="paragraph" w:customStyle="1" w:styleId="8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1227</Words>
  <Characters>1455</Characters>
  <Lines>1658</Lines>
  <Paragraphs>1565</Paragraphs>
  <TotalTime>2</TotalTime>
  <ScaleCrop>false</ScaleCrop>
  <LinksUpToDate>false</LinksUpToDate>
  <CharactersWithSpaces>1562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2024-12-30T16:42:00Z</dcterms:created>
  <dc:creator>30</dc:creator>
  <cp:lastModifiedBy>Administrator</cp:lastModifiedBy>
  <dcterms:modified xsi:type="dcterms:W3CDTF">2025-05-29T10:58:19Z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eyJoZGlkIjoiNTM5NGUyMDk0NzU4OTc4MmUzZmE0ZjhmZmQ2M2EzY2YiLCJ1c2VySWQiOiI3NTI4MzY3MDIifQ==</vt:lpwstr>
  </property>
  <property fmtid="{D5CDD505-2E9C-101B-9397-08002B2CF9AE}" pid="3" name="KSOProductBuildVer">
    <vt:lpwstr>2052-12.1.0.20784</vt:lpwstr>
  </property>
  <property fmtid="{D5CDD505-2E9C-101B-9397-08002B2CF9AE}" pid="4" name="ICV">
    <vt:lpwstr>B93F9235BAAD41BFB2C46C456C5B1355_13</vt:lpwstr>
  </property>
</Properties>
</file>